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56" w:rsidRPr="005427BA" w:rsidRDefault="00C74756" w:rsidP="00BB7A0C">
      <w:pPr>
        <w:outlineLvl w:val="0"/>
        <w:rPr>
          <w:rFonts w:asciiTheme="minorHAnsi" w:hAnsiTheme="minorHAnsi" w:cstheme="minorHAnsi"/>
          <w:b/>
        </w:rPr>
      </w:pPr>
    </w:p>
    <w:p w:rsidR="00C0757B" w:rsidRPr="005427BA" w:rsidRDefault="00C0757B" w:rsidP="00C0757B">
      <w:pPr>
        <w:jc w:val="center"/>
        <w:outlineLvl w:val="0"/>
        <w:rPr>
          <w:rFonts w:asciiTheme="minorHAnsi" w:hAnsiTheme="minorHAnsi" w:cstheme="minorHAnsi"/>
          <w:b/>
        </w:rPr>
      </w:pPr>
      <w:r w:rsidRPr="005427BA">
        <w:rPr>
          <w:rFonts w:asciiTheme="minorHAnsi" w:hAnsiTheme="minorHAnsi" w:cstheme="minorHAnsi"/>
          <w:b/>
        </w:rPr>
        <w:t>ZAMRAŻARKA NISKOTEMPERATUROWA DO -86 °C – 1 SZT.</w:t>
      </w:r>
    </w:p>
    <w:p w:rsidR="00C0757B" w:rsidRPr="005427BA" w:rsidRDefault="00C0757B" w:rsidP="00C0757B">
      <w:pPr>
        <w:jc w:val="center"/>
        <w:rPr>
          <w:rFonts w:asciiTheme="minorHAnsi" w:hAnsiTheme="minorHAnsi" w:cstheme="minorHAnsi"/>
          <w:b/>
        </w:rPr>
      </w:pPr>
    </w:p>
    <w:p w:rsidR="00C0757B" w:rsidRPr="005427BA" w:rsidRDefault="00C0757B" w:rsidP="00C0757B">
      <w:pPr>
        <w:jc w:val="center"/>
        <w:rPr>
          <w:rFonts w:asciiTheme="minorHAnsi" w:hAnsiTheme="minorHAnsi" w:cstheme="minorHAnsi"/>
          <w:b/>
        </w:rPr>
      </w:pPr>
    </w:p>
    <w:p w:rsidR="00C0757B" w:rsidRPr="005427BA" w:rsidRDefault="00C0757B" w:rsidP="00C0757B">
      <w:pPr>
        <w:rPr>
          <w:rFonts w:asciiTheme="minorHAnsi" w:hAnsiTheme="minorHAnsi" w:cstheme="minorHAnsi"/>
        </w:rPr>
      </w:pPr>
      <w:r w:rsidRPr="005427BA">
        <w:rPr>
          <w:rFonts w:asciiTheme="minorHAnsi" w:hAnsiTheme="minorHAnsi" w:cstheme="minorHAnsi"/>
        </w:rPr>
        <w:t>Nazwa oferowanego urządzenia:…………………………………………………………………………….</w:t>
      </w:r>
    </w:p>
    <w:p w:rsidR="00C0757B" w:rsidRPr="005427BA" w:rsidRDefault="00C0757B" w:rsidP="00C0757B">
      <w:pPr>
        <w:rPr>
          <w:rFonts w:asciiTheme="minorHAnsi" w:hAnsiTheme="minorHAnsi" w:cstheme="minorHAnsi"/>
        </w:rPr>
      </w:pPr>
      <w:r w:rsidRPr="005427BA">
        <w:rPr>
          <w:rFonts w:asciiTheme="minorHAnsi" w:hAnsiTheme="minorHAnsi" w:cstheme="minorHAnsi"/>
        </w:rPr>
        <w:t>Typ/ Model:………………………………………………………………………………………………….</w:t>
      </w:r>
    </w:p>
    <w:p w:rsidR="005427BA" w:rsidRDefault="00C0757B" w:rsidP="00C0757B">
      <w:pPr>
        <w:rPr>
          <w:rFonts w:asciiTheme="minorHAnsi" w:hAnsiTheme="minorHAnsi" w:cstheme="minorHAnsi"/>
        </w:rPr>
      </w:pPr>
      <w:r w:rsidRPr="005427BA">
        <w:rPr>
          <w:rFonts w:asciiTheme="minorHAnsi" w:hAnsiTheme="minorHAnsi" w:cstheme="minorHAnsi"/>
        </w:rPr>
        <w:t xml:space="preserve">Rok produkcji: </w:t>
      </w:r>
      <w:r w:rsidR="0063605B" w:rsidRPr="005427BA">
        <w:rPr>
          <w:rFonts w:asciiTheme="minorHAnsi" w:hAnsiTheme="minorHAnsi" w:cstheme="minorHAnsi"/>
        </w:rPr>
        <w:t>2019 r.</w:t>
      </w:r>
      <w:r w:rsidR="005427BA">
        <w:rPr>
          <w:rFonts w:asciiTheme="minorHAnsi" w:hAnsiTheme="minorHAnsi" w:cstheme="minorHAnsi"/>
        </w:rPr>
        <w:t>: …………………………………………………………………..</w:t>
      </w:r>
    </w:p>
    <w:p w:rsidR="00C0757B" w:rsidRPr="005427BA" w:rsidRDefault="0063605B" w:rsidP="00C0757B">
      <w:pPr>
        <w:rPr>
          <w:rFonts w:asciiTheme="minorHAnsi" w:hAnsiTheme="minorHAnsi" w:cstheme="minorHAnsi"/>
        </w:rPr>
      </w:pPr>
      <w:r w:rsidRPr="005427BA">
        <w:rPr>
          <w:rFonts w:asciiTheme="minorHAnsi" w:hAnsiTheme="minorHAnsi" w:cstheme="minorHAnsi"/>
        </w:rPr>
        <w:t xml:space="preserve"> </w:t>
      </w:r>
      <w:r w:rsidR="005427BA">
        <w:rPr>
          <w:rFonts w:asciiTheme="minorHAnsi" w:hAnsiTheme="minorHAnsi" w:cstheme="minorHAnsi"/>
        </w:rPr>
        <w:tab/>
      </w:r>
      <w:r w:rsidR="005427BA">
        <w:rPr>
          <w:rFonts w:asciiTheme="minorHAnsi" w:hAnsiTheme="minorHAnsi" w:cstheme="minorHAnsi"/>
        </w:rPr>
        <w:tab/>
      </w:r>
      <w:r w:rsidR="005427BA">
        <w:rPr>
          <w:rFonts w:asciiTheme="minorHAnsi" w:hAnsiTheme="minorHAnsi" w:cstheme="minorHAnsi"/>
        </w:rPr>
        <w:tab/>
      </w:r>
      <w:r w:rsidR="005427BA">
        <w:rPr>
          <w:rFonts w:asciiTheme="minorHAnsi" w:hAnsiTheme="minorHAnsi" w:cstheme="minorHAnsi"/>
        </w:rPr>
        <w:tab/>
      </w:r>
      <w:r w:rsidR="005427BA">
        <w:rPr>
          <w:rFonts w:asciiTheme="minorHAnsi" w:hAnsiTheme="minorHAnsi" w:cstheme="minorHAnsi"/>
        </w:rPr>
        <w:tab/>
      </w:r>
      <w:r w:rsidR="005427BA" w:rsidRPr="005427BA">
        <w:rPr>
          <w:rFonts w:asciiTheme="minorHAnsi" w:hAnsiTheme="minorHAnsi" w:cstheme="minorHAnsi"/>
          <w:sz w:val="20"/>
        </w:rPr>
        <w:t>nowa/</w:t>
      </w:r>
      <w:r w:rsidR="00C0757B" w:rsidRPr="005427BA">
        <w:rPr>
          <w:rFonts w:asciiTheme="minorHAnsi" w:hAnsiTheme="minorHAnsi" w:cstheme="minorHAnsi"/>
          <w:sz w:val="20"/>
        </w:rPr>
        <w:t>powyst</w:t>
      </w:r>
      <w:r w:rsidR="005427BA" w:rsidRPr="005427BA">
        <w:rPr>
          <w:rFonts w:asciiTheme="minorHAnsi" w:hAnsiTheme="minorHAnsi" w:cstheme="minorHAnsi"/>
          <w:sz w:val="20"/>
        </w:rPr>
        <w:t>awowa</w:t>
      </w:r>
    </w:p>
    <w:p w:rsidR="00C0757B" w:rsidRPr="005427BA" w:rsidRDefault="00C0757B" w:rsidP="00C0757B">
      <w:pPr>
        <w:rPr>
          <w:rFonts w:asciiTheme="minorHAnsi" w:hAnsiTheme="minorHAnsi" w:cstheme="minorHAnsi"/>
        </w:rPr>
      </w:pPr>
      <w:r w:rsidRPr="005427BA">
        <w:rPr>
          <w:rFonts w:asciiTheme="minorHAnsi" w:hAnsiTheme="minorHAnsi" w:cstheme="minorHAnsi"/>
        </w:rPr>
        <w:t>Producent:…………………………………………………………………..................................................</w:t>
      </w:r>
    </w:p>
    <w:p w:rsidR="00C0757B" w:rsidRPr="005427BA" w:rsidRDefault="00C0757B" w:rsidP="00C0757B">
      <w:pPr>
        <w:rPr>
          <w:rFonts w:asciiTheme="minorHAnsi" w:hAnsiTheme="minorHAnsi" w:cstheme="minorHAnsi"/>
        </w:rPr>
      </w:pPr>
      <w:r w:rsidRPr="005427BA">
        <w:rPr>
          <w:rFonts w:asciiTheme="minorHAnsi" w:hAnsiTheme="minorHAnsi" w:cstheme="minorHAnsi"/>
        </w:rPr>
        <w:t>Kraj pochodzenia: ………………………………………………………….................................................</w:t>
      </w:r>
    </w:p>
    <w:p w:rsidR="00C0757B" w:rsidRPr="005427BA" w:rsidRDefault="00C0757B" w:rsidP="00C0757B">
      <w:pPr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X="-137" w:tblpY="25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4253"/>
        <w:gridCol w:w="1275"/>
        <w:gridCol w:w="4395"/>
      </w:tblGrid>
      <w:tr w:rsidR="00C0757B" w:rsidRPr="005427BA" w:rsidTr="00C0757B">
        <w:trPr>
          <w:trHeight w:val="1070"/>
        </w:trPr>
        <w:tc>
          <w:tcPr>
            <w:tcW w:w="714" w:type="dxa"/>
            <w:shd w:val="clear" w:color="auto" w:fill="D9D9D9"/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427BA">
              <w:rPr>
                <w:rFonts w:asciiTheme="minorHAnsi" w:hAnsiTheme="minorHAnsi" w:cstheme="minorHAnsi"/>
                <w:b/>
                <w:sz w:val="20"/>
              </w:rPr>
              <w:t>L.p.</w:t>
            </w:r>
          </w:p>
        </w:tc>
        <w:tc>
          <w:tcPr>
            <w:tcW w:w="4253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427BA">
              <w:rPr>
                <w:rFonts w:asciiTheme="minorHAnsi" w:hAnsiTheme="minorHAnsi" w:cstheme="minorHAnsi"/>
                <w:b/>
                <w:sz w:val="20"/>
              </w:rPr>
              <w:t>Parametry techniczne</w:t>
            </w:r>
          </w:p>
        </w:tc>
        <w:tc>
          <w:tcPr>
            <w:tcW w:w="1275" w:type="dxa"/>
            <w:shd w:val="clear" w:color="auto" w:fill="D9D9D9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427BA">
              <w:rPr>
                <w:rFonts w:asciiTheme="minorHAnsi" w:hAnsiTheme="minorHAnsi" w:cstheme="minorHAnsi"/>
                <w:b/>
                <w:sz w:val="20"/>
              </w:rPr>
              <w:t>Parametr wymagany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427BA">
              <w:rPr>
                <w:rFonts w:asciiTheme="minorHAnsi" w:hAnsiTheme="minorHAnsi" w:cstheme="minorHAnsi"/>
                <w:b/>
                <w:sz w:val="20"/>
              </w:rPr>
              <w:t>Parametry oferowane</w:t>
            </w:r>
          </w:p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427BA">
              <w:rPr>
                <w:rFonts w:asciiTheme="minorHAnsi" w:hAnsiTheme="minorHAnsi" w:cstheme="minorHAnsi"/>
                <w:b/>
                <w:sz w:val="20"/>
              </w:rPr>
              <w:t>(podać, opisać)</w:t>
            </w:r>
          </w:p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427BA">
              <w:rPr>
                <w:rFonts w:asciiTheme="minorHAnsi" w:hAnsiTheme="minorHAnsi" w:cstheme="minorHAnsi"/>
                <w:b/>
                <w:sz w:val="20"/>
              </w:rPr>
              <w:t>Należy szczegółowo opisać każdy oferowany parametr</w:t>
            </w:r>
          </w:p>
        </w:tc>
      </w:tr>
      <w:tr w:rsidR="00C0757B" w:rsidRPr="005427BA" w:rsidTr="00C0757B">
        <w:trPr>
          <w:trHeight w:val="284"/>
        </w:trPr>
        <w:tc>
          <w:tcPr>
            <w:tcW w:w="714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1.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pStyle w:val="Legenda"/>
              <w:rPr>
                <w:rFonts w:asciiTheme="minorHAnsi" w:eastAsia="Segoe UI" w:hAnsiTheme="minorHAnsi" w:cstheme="minorHAnsi"/>
                <w:i w:val="0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i w:val="0"/>
                <w:sz w:val="22"/>
                <w:szCs w:val="22"/>
              </w:rPr>
              <w:t>Wykonanie zamrażarki - pionowe (szafowe).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TAK</w:t>
            </w:r>
          </w:p>
        </w:tc>
        <w:tc>
          <w:tcPr>
            <w:tcW w:w="4395" w:type="dxa"/>
            <w:vAlign w:val="center"/>
          </w:tcPr>
          <w:p w:rsidR="00C0757B" w:rsidRPr="005427BA" w:rsidRDefault="00C0757B" w:rsidP="00C0757B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284"/>
        </w:trPr>
        <w:tc>
          <w:tcPr>
            <w:tcW w:w="714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2.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pStyle w:val="Legenda"/>
              <w:rPr>
                <w:rFonts w:asciiTheme="minorHAnsi" w:eastAsia="Segoe UI" w:hAnsiTheme="minorHAnsi" w:cstheme="minorHAnsi"/>
                <w:i w:val="0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i w:val="0"/>
                <w:sz w:val="22"/>
                <w:szCs w:val="22"/>
              </w:rPr>
              <w:t>Pojemność użytkowa ok. 730 litrów (± 10 litrów).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C0757B" w:rsidRPr="005427BA" w:rsidRDefault="00C0757B" w:rsidP="00C0757B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284"/>
        </w:trPr>
        <w:tc>
          <w:tcPr>
            <w:tcW w:w="714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3.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pStyle w:val="Legenda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i w:val="0"/>
                <w:sz w:val="22"/>
                <w:szCs w:val="22"/>
              </w:rPr>
              <w:t>Izolacja termiczna – próżniowa z rdzeniem z włókna szklanego.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C0757B" w:rsidRPr="005427BA" w:rsidRDefault="00C0757B" w:rsidP="00C0757B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284"/>
        </w:trPr>
        <w:tc>
          <w:tcPr>
            <w:tcW w:w="714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4.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pStyle w:val="Legenda"/>
              <w:rPr>
                <w:rFonts w:asciiTheme="minorHAnsi" w:eastAsia="Segoe UI" w:hAnsiTheme="minorHAnsi" w:cstheme="minorHAnsi"/>
                <w:i w:val="0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i w:val="0"/>
                <w:sz w:val="22"/>
                <w:szCs w:val="22"/>
              </w:rPr>
              <w:t>Zakres nastawiania temperatury -50°C do -86°C.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C0757B" w:rsidRPr="005427BA" w:rsidRDefault="00C0757B" w:rsidP="00C0757B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284"/>
        </w:trPr>
        <w:tc>
          <w:tcPr>
            <w:tcW w:w="714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5.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pStyle w:val="Legenda"/>
              <w:rPr>
                <w:rFonts w:asciiTheme="minorHAnsi" w:eastAsia="Segoe UI" w:hAnsiTheme="minorHAnsi" w:cstheme="minorHAnsi"/>
                <w:i w:val="0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i w:val="0"/>
                <w:sz w:val="22"/>
                <w:szCs w:val="22"/>
              </w:rPr>
              <w:t>Szerokość zewnętrzna zamrażarki nie większa niż 1050 mm.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C0757B" w:rsidRPr="005427BA" w:rsidRDefault="00C0757B" w:rsidP="00C0757B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284"/>
        </w:trPr>
        <w:tc>
          <w:tcPr>
            <w:tcW w:w="714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6.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pStyle w:val="Legenda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i w:val="0"/>
                <w:sz w:val="22"/>
                <w:szCs w:val="22"/>
              </w:rPr>
              <w:t>Głębokość zewnętrzna zamrażarki nie większa niż 900 mm.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C0757B" w:rsidRPr="005427BA" w:rsidRDefault="00C0757B" w:rsidP="00C0757B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284"/>
        </w:trPr>
        <w:tc>
          <w:tcPr>
            <w:tcW w:w="714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7.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pStyle w:val="Legenda"/>
              <w:rPr>
                <w:rFonts w:asciiTheme="minorHAnsi" w:eastAsia="Segoe UI" w:hAnsiTheme="minorHAnsi" w:cstheme="minorHAnsi"/>
                <w:i w:val="0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i w:val="0"/>
                <w:sz w:val="22"/>
                <w:szCs w:val="22"/>
              </w:rPr>
              <w:t>Wysokość zewnętrzna zamrażarki nie większa niż 2000 mm.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C0757B" w:rsidRPr="005427BA" w:rsidRDefault="00C0757B" w:rsidP="00C0757B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691"/>
        </w:trPr>
        <w:tc>
          <w:tcPr>
            <w:tcW w:w="714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8.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sz w:val="22"/>
                <w:szCs w:val="22"/>
              </w:rPr>
              <w:t>Kaskadowy układ chłodzenia z energooszczędnymi kompresorami inwerterowymi.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C0757B" w:rsidRPr="005427BA" w:rsidRDefault="00C0757B" w:rsidP="00C0757B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284"/>
        </w:trPr>
        <w:tc>
          <w:tcPr>
            <w:tcW w:w="714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9.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pStyle w:val="Legenda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i w:val="0"/>
                <w:sz w:val="22"/>
                <w:szCs w:val="22"/>
              </w:rPr>
              <w:t>Wnętrze ze stali pokrytej łatwo zmywalną, gładką powłoką.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C0757B" w:rsidRPr="005427BA" w:rsidRDefault="00C0757B" w:rsidP="00C0757B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284"/>
        </w:trPr>
        <w:tc>
          <w:tcPr>
            <w:tcW w:w="714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10.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sz w:val="22"/>
                <w:szCs w:val="22"/>
              </w:rPr>
              <w:t>Drzwi zewnętrzne zamykane mechanicznie (nie dopuszcza się urządzeń wyposażonych w zamek elektromagnetyczny).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C0757B" w:rsidRPr="005427BA" w:rsidRDefault="00C0757B" w:rsidP="00C0757B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284"/>
        </w:trPr>
        <w:tc>
          <w:tcPr>
            <w:tcW w:w="714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11.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sz w:val="22"/>
                <w:szCs w:val="22"/>
              </w:rPr>
              <w:t xml:space="preserve">Drzwi zewnętrzne zamykane na klucz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284"/>
        </w:trPr>
        <w:tc>
          <w:tcPr>
            <w:tcW w:w="714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12.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sz w:val="22"/>
                <w:szCs w:val="22"/>
              </w:rPr>
              <w:t>Możliwość wymiany uszczelki drzwi zewnętrznych bez użycia narzędzi.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284"/>
        </w:trPr>
        <w:tc>
          <w:tcPr>
            <w:tcW w:w="714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lastRenderedPageBreak/>
              <w:t>13.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sz w:val="22"/>
                <w:szCs w:val="22"/>
              </w:rPr>
              <w:t>System zapobiegający przysysaniu drzwi zewnętrznych, wykorzystujący dwa porty wyrównywania ciśnienia (automatyczny i ręczny).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284"/>
        </w:trPr>
        <w:tc>
          <w:tcPr>
            <w:tcW w:w="714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14.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sz w:val="22"/>
                <w:szCs w:val="22"/>
              </w:rPr>
              <w:t>Dodatkowe, izolowane drzwi wewnętrzne (nie więcej niż 2szt.) z możliwością łatwego demontażu bez użycia narzędzi.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284"/>
        </w:trPr>
        <w:tc>
          <w:tcPr>
            <w:tcW w:w="714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15.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sz w:val="22"/>
                <w:szCs w:val="22"/>
              </w:rPr>
              <w:t>Drzwi wewnętrzne z zamknięciem mechanicznym (np. w postaci zatrzasku) zapewniającym prawidłowy docisk uszczelek.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284"/>
        </w:trPr>
        <w:tc>
          <w:tcPr>
            <w:tcW w:w="714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17.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sz w:val="22"/>
                <w:szCs w:val="22"/>
              </w:rPr>
              <w:t>Podstawa wyposażona w 4 kółka ułatwiające relokację urządzenia.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284"/>
        </w:trPr>
        <w:tc>
          <w:tcPr>
            <w:tcW w:w="714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18.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sz w:val="22"/>
                <w:szCs w:val="22"/>
              </w:rPr>
              <w:t>Sterownik mikroprocesorowy z funkcją rejestracji temperatury, stanów otwarcia drzwi oraz stanów alarmowych. Wbudowany w panel sterowania port USB umożliwiający przesłanie zarejestrowanych danych na pamięć pendrive.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284"/>
        </w:trPr>
        <w:tc>
          <w:tcPr>
            <w:tcW w:w="714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19.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sz w:val="22"/>
                <w:szCs w:val="22"/>
              </w:rPr>
              <w:t>Panel sterowania z kolorowym, dotykowym wyświetlaczem LCD o rozdzielczości WVGA lub wyższej.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284"/>
        </w:trPr>
        <w:tc>
          <w:tcPr>
            <w:tcW w:w="714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20.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sz w:val="22"/>
                <w:szCs w:val="22"/>
              </w:rPr>
              <w:t>Wyświetlane komunikaty tekstowe muszą być podawane w języku polskim lub angielskim.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3118"/>
        </w:trPr>
        <w:tc>
          <w:tcPr>
            <w:tcW w:w="714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21.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sz w:val="22"/>
                <w:szCs w:val="22"/>
              </w:rPr>
              <w:t>Wizualna i akustyczna sygnalizacja stanów alarmowych:</w:t>
            </w:r>
          </w:p>
          <w:p w:rsidR="00C0757B" w:rsidRPr="005427BA" w:rsidRDefault="00C0757B" w:rsidP="00C0757B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 w:rsidRPr="005427BA">
              <w:rPr>
                <w:rFonts w:cstheme="minorHAnsi"/>
              </w:rPr>
              <w:t>zbyt wysokiej i zbyt niskiej temperatury (z możliwością regulacji temperatury granicznej w zakresie od ±5°C do ±20°C oraz opóźnienia w zakresie od 0 do 15 minut).</w:t>
            </w:r>
          </w:p>
          <w:p w:rsidR="00C0757B" w:rsidRPr="005427BA" w:rsidRDefault="00C0757B" w:rsidP="00C0757B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 w:rsidRPr="005427BA">
              <w:rPr>
                <w:rFonts w:cstheme="minorHAnsi"/>
              </w:rPr>
              <w:t>zaniku napięcia (podtrzymywany bateryjnie).</w:t>
            </w:r>
          </w:p>
          <w:p w:rsidR="00C0757B" w:rsidRPr="005427BA" w:rsidRDefault="00C0757B" w:rsidP="00C0757B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 w:rsidRPr="005427BA">
              <w:rPr>
                <w:rFonts w:cstheme="minorHAnsi"/>
              </w:rPr>
              <w:t>niedomknięcia drzwi (z opóźnieniem czasowym regulowanym w zakresie od 0 do 15 minut).</w:t>
            </w:r>
          </w:p>
          <w:p w:rsidR="00C0757B" w:rsidRPr="005427BA" w:rsidRDefault="00C0757B" w:rsidP="00C0757B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 w:rsidRPr="005427BA">
              <w:rPr>
                <w:rFonts w:cstheme="minorHAnsi"/>
              </w:rPr>
              <w:t>zanieczyszczenia skraplacza.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284"/>
        </w:trPr>
        <w:tc>
          <w:tcPr>
            <w:tcW w:w="714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22.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sz w:val="22"/>
                <w:szCs w:val="22"/>
              </w:rPr>
              <w:t>Możliwość ręcznego wyciszenia alarmu akustycznego na ustalony czas (regulacja czasu w zakresie od 1 do 99 minut).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284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23.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sz w:val="22"/>
                <w:szCs w:val="22"/>
              </w:rPr>
              <w:t>Automatyczna diagnostyka usterek. Komunikaty ostrzegające o konieczności wymiany komponentów zużywalnych, nieprawidłowej temperaturze otoczenia, przeciążeniu układu chłodzenia.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284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24.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sz w:val="22"/>
                <w:szCs w:val="22"/>
              </w:rPr>
              <w:t>Zabezpieczenie przed zmianą nastaw przy pomocy hasła.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284"/>
        </w:trPr>
        <w:tc>
          <w:tcPr>
            <w:tcW w:w="714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lastRenderedPageBreak/>
              <w:t>25.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sz w:val="22"/>
                <w:szCs w:val="22"/>
              </w:rPr>
              <w:t>Fabrycznie wykonane porty kablowe o średnicy minimum 15mm (nie mniej niż 3 porty).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284"/>
        </w:trPr>
        <w:tc>
          <w:tcPr>
            <w:tcW w:w="714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26.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sz w:val="22"/>
                <w:szCs w:val="22"/>
              </w:rPr>
              <w:t>Bezpotencjałowe styki alarmowe NO/NC dla centralnych systemów monitorowania.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284"/>
        </w:trPr>
        <w:tc>
          <w:tcPr>
            <w:tcW w:w="714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27.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rPr>
                <w:rFonts w:asciiTheme="minorHAnsi" w:eastAsia="Segoe UI" w:hAnsiTheme="minorHAnsi" w:cstheme="minorHAnsi"/>
                <w:sz w:val="22"/>
                <w:szCs w:val="22"/>
              </w:rPr>
            </w:pPr>
            <w:r w:rsidRPr="005427BA">
              <w:rPr>
                <w:rFonts w:asciiTheme="minorHAnsi" w:eastAsia="Segoe UI" w:hAnsiTheme="minorHAnsi" w:cstheme="minorHAnsi"/>
                <w:sz w:val="22"/>
                <w:szCs w:val="22"/>
              </w:rPr>
              <w:t>Maksymalna waga urządzenia 280 kg.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284"/>
        </w:trPr>
        <w:tc>
          <w:tcPr>
            <w:tcW w:w="714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28.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sz w:val="22"/>
                <w:szCs w:val="22"/>
              </w:rPr>
              <w:t>Możliwość pomieszczenia min. 570 pudełek kriogenicznych o wymiarach 133x133x50mm w dedykowanych, metalowych stelażach.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284"/>
        </w:trPr>
        <w:tc>
          <w:tcPr>
            <w:tcW w:w="714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29.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sz w:val="22"/>
                <w:szCs w:val="22"/>
              </w:rPr>
              <w:t>Zużycie energii poniżej 8kWh na dobę.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284"/>
        </w:trPr>
        <w:tc>
          <w:tcPr>
            <w:tcW w:w="714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30.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sz w:val="22"/>
                <w:szCs w:val="22"/>
              </w:rPr>
              <w:t>Naturalne węglowodorowe czynniki chłodnicze.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C0757B" w:rsidRPr="005427BA" w:rsidRDefault="00C0757B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C0757B" w:rsidRPr="005427BA" w:rsidTr="00C0757B">
        <w:trPr>
          <w:trHeight w:val="860"/>
        </w:trPr>
        <w:tc>
          <w:tcPr>
            <w:tcW w:w="714" w:type="dxa"/>
            <w:vAlign w:val="center"/>
          </w:tcPr>
          <w:p w:rsidR="00C0757B" w:rsidRPr="005427BA" w:rsidRDefault="005427BA" w:rsidP="00C0757B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31</w:t>
            </w:r>
            <w:r w:rsidR="00C0757B" w:rsidRPr="005427BA">
              <w:rPr>
                <w:rFonts w:asciiTheme="minorHAnsi" w:hAnsiTheme="minorHAnsi" w:cstheme="minorHAnsi"/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757B" w:rsidRPr="005427BA" w:rsidRDefault="00C0757B" w:rsidP="00C0757B">
            <w:pPr>
              <w:pStyle w:val="Legenda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i w:val="0"/>
                <w:sz w:val="22"/>
                <w:szCs w:val="22"/>
              </w:rPr>
              <w:t>Dostępność części zamiennych po ustaniu produkcji zaoferowanego modelu minimum 10 lat.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C0757B" w:rsidRPr="005427BA" w:rsidRDefault="00C0757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C0757B" w:rsidRPr="005427BA" w:rsidRDefault="00C0757B" w:rsidP="00C0757B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9C69AB" w:rsidRPr="005427BA" w:rsidTr="00C0757B">
        <w:trPr>
          <w:trHeight w:val="860"/>
        </w:trPr>
        <w:tc>
          <w:tcPr>
            <w:tcW w:w="714" w:type="dxa"/>
            <w:vAlign w:val="center"/>
          </w:tcPr>
          <w:p w:rsidR="009C69AB" w:rsidRPr="005427BA" w:rsidRDefault="009C69AB" w:rsidP="005427BA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5427BA">
              <w:rPr>
                <w:rFonts w:asciiTheme="minorHAnsi" w:hAnsiTheme="minorHAnsi" w:cstheme="minorHAnsi"/>
                <w:i w:val="0"/>
              </w:rPr>
              <w:t>3</w:t>
            </w:r>
            <w:r w:rsidR="005427BA">
              <w:rPr>
                <w:rFonts w:asciiTheme="minorHAnsi" w:hAnsiTheme="minorHAnsi" w:cstheme="minorHAnsi"/>
                <w:i w:val="0"/>
              </w:rPr>
              <w:t>2</w:t>
            </w:r>
            <w:r w:rsidRPr="005427BA">
              <w:rPr>
                <w:rFonts w:asciiTheme="minorHAnsi" w:hAnsiTheme="minorHAnsi" w:cstheme="minorHAnsi"/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C69AB" w:rsidRPr="005427BA" w:rsidRDefault="009C69AB" w:rsidP="00C0757B">
            <w:pPr>
              <w:pStyle w:val="Legenda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427BA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Urządzenie medyczne posiadające deklarację zgodności z Dyrektywą 93/42/EWG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9C69AB" w:rsidRPr="005427BA" w:rsidRDefault="009C69AB" w:rsidP="00C0757B">
            <w:pPr>
              <w:jc w:val="center"/>
              <w:rPr>
                <w:rFonts w:asciiTheme="minorHAnsi" w:hAnsiTheme="minorHAnsi" w:cstheme="minorHAnsi"/>
              </w:rPr>
            </w:pPr>
            <w:r w:rsidRPr="005427B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9C69AB" w:rsidRPr="005427BA" w:rsidRDefault="009C69AB" w:rsidP="00C0757B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</w:tbl>
    <w:p w:rsidR="00C0757B" w:rsidRDefault="00C0757B" w:rsidP="005427BA">
      <w:pPr>
        <w:rPr>
          <w:rFonts w:asciiTheme="minorHAnsi" w:hAnsiTheme="minorHAnsi" w:cstheme="minorHAnsi"/>
          <w:b/>
        </w:rPr>
      </w:pPr>
    </w:p>
    <w:p w:rsidR="005427BA" w:rsidRPr="00810C5F" w:rsidRDefault="005427BA" w:rsidP="005427B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Uwaga!</w:t>
      </w:r>
    </w:p>
    <w:p w:rsidR="005427BA" w:rsidRPr="005427BA" w:rsidRDefault="005427BA" w:rsidP="005427BA">
      <w:pPr>
        <w:jc w:val="both"/>
        <w:rPr>
          <w:rFonts w:ascii="Calibri" w:hAnsi="Calibri"/>
          <w:sz w:val="20"/>
        </w:rPr>
      </w:pPr>
      <w:r w:rsidRPr="00810C5F">
        <w:rPr>
          <w:rFonts w:ascii="Calibri" w:hAnsi="Calibri"/>
          <w:sz w:val="20"/>
        </w:rPr>
        <w:t xml:space="preserve">W lewej kolumnie tabeli podane są parametry danych elementów </w:t>
      </w:r>
      <w:r>
        <w:rPr>
          <w:rFonts w:ascii="Calibri" w:hAnsi="Calibri"/>
          <w:sz w:val="20"/>
        </w:rPr>
        <w:t xml:space="preserve">przedmiotu </w:t>
      </w:r>
      <w:r w:rsidRPr="00810C5F">
        <w:rPr>
          <w:rFonts w:ascii="Calibri" w:hAnsi="Calibri"/>
          <w:sz w:val="20"/>
        </w:rPr>
        <w:t xml:space="preserve">zamówienia, stanowiące minimum wymagane przez zamawiającego. Wykonawca poda w prawej kolumnie oferowane parametry. Jeśli wykonawca oferuje parametry danego elementu zamówienia dokładnie takie, jakich oczekuje zamawiający, powinien w prawej kolumnie zaznaczyć, że element ten jest zgodny z oczekiwaniem zamawiającego, albo zostawić miejsce w danym wierszu niewypełnione. Nie ma konieczności przepisywania przez wykonawcę parametrów, które są tożsame z oczekiwaniami zamawiającego, podanymi w lewej kolumnie. Uwaga ta nie dotyczy </w:t>
      </w:r>
      <w:r>
        <w:rPr>
          <w:rFonts w:ascii="Calibri" w:hAnsi="Calibri"/>
          <w:sz w:val="20"/>
        </w:rPr>
        <w:t xml:space="preserve">konieczności </w:t>
      </w:r>
      <w:r w:rsidRPr="00810C5F">
        <w:rPr>
          <w:rFonts w:ascii="Calibri" w:hAnsi="Calibri"/>
          <w:sz w:val="20"/>
        </w:rPr>
        <w:t xml:space="preserve">podania przez wykonawcę producenta, nazwy, </w:t>
      </w:r>
      <w:r>
        <w:rPr>
          <w:rFonts w:ascii="Calibri" w:hAnsi="Calibri"/>
          <w:sz w:val="20"/>
        </w:rPr>
        <w:t>typu, kraju pochodzenia zamrażarki niskotemperaturowej.</w:t>
      </w:r>
      <w:bookmarkStart w:id="0" w:name="_GoBack"/>
      <w:bookmarkEnd w:id="0"/>
    </w:p>
    <w:sectPr w:rsidR="005427BA" w:rsidRPr="005427BA" w:rsidSect="00BB7A0C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1F1" w:rsidRDefault="00FE01F1" w:rsidP="0025600E">
      <w:r>
        <w:separator/>
      </w:r>
    </w:p>
  </w:endnote>
  <w:endnote w:type="continuationSeparator" w:id="0">
    <w:p w:rsidR="00FE01F1" w:rsidRDefault="00FE01F1" w:rsidP="0025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228528"/>
      <w:docPartObj>
        <w:docPartGallery w:val="Page Numbers (Bottom of Page)"/>
        <w:docPartUnique/>
      </w:docPartObj>
    </w:sdtPr>
    <w:sdtEndPr/>
    <w:sdtContent>
      <w:p w:rsidR="00C0757B" w:rsidRDefault="003007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D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0757B" w:rsidRDefault="00C075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1F1" w:rsidRDefault="00FE01F1" w:rsidP="0025600E">
      <w:r>
        <w:separator/>
      </w:r>
    </w:p>
  </w:footnote>
  <w:footnote w:type="continuationSeparator" w:id="0">
    <w:p w:rsidR="00FE01F1" w:rsidRDefault="00FE01F1" w:rsidP="00256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7BA" w:rsidRPr="005427BA" w:rsidRDefault="005427BA" w:rsidP="005427BA">
    <w:pPr>
      <w:pStyle w:val="Nagwek"/>
      <w:jc w:val="right"/>
      <w:rPr>
        <w:rFonts w:asciiTheme="minorHAnsi" w:hAnsiTheme="minorHAnsi" w:cstheme="minorHAnsi"/>
      </w:rPr>
    </w:pPr>
    <w:r w:rsidRPr="005427BA">
      <w:rPr>
        <w:rFonts w:asciiTheme="minorHAnsi" w:hAnsiTheme="minorHAnsi" w:cstheme="minorHAnsi"/>
      </w:rPr>
      <w:t>Załącznik nr 2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6235"/>
    <w:multiLevelType w:val="hybridMultilevel"/>
    <w:tmpl w:val="CA2C7D88"/>
    <w:lvl w:ilvl="0" w:tplc="D0D2A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042A"/>
    <w:multiLevelType w:val="hybridMultilevel"/>
    <w:tmpl w:val="07967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14045"/>
    <w:multiLevelType w:val="hybridMultilevel"/>
    <w:tmpl w:val="8878C4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D7A25"/>
    <w:multiLevelType w:val="hybridMultilevel"/>
    <w:tmpl w:val="0E12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753FC"/>
    <w:multiLevelType w:val="hybridMultilevel"/>
    <w:tmpl w:val="1B9CA6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90238E"/>
    <w:multiLevelType w:val="hybridMultilevel"/>
    <w:tmpl w:val="882C6FBE"/>
    <w:lvl w:ilvl="0" w:tplc="449A252E">
      <w:start w:val="1"/>
      <w:numFmt w:val="lowerLetter"/>
      <w:lvlText w:val="%1)"/>
      <w:lvlJc w:val="center"/>
      <w:pPr>
        <w:tabs>
          <w:tab w:val="num" w:pos="360"/>
        </w:tabs>
        <w:ind w:left="360" w:firstLine="288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85987"/>
    <w:multiLevelType w:val="hybridMultilevel"/>
    <w:tmpl w:val="AA840C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035E0"/>
    <w:multiLevelType w:val="hybridMultilevel"/>
    <w:tmpl w:val="3D1CAFCA"/>
    <w:lvl w:ilvl="0" w:tplc="72BAE6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B62A3"/>
    <w:multiLevelType w:val="hybridMultilevel"/>
    <w:tmpl w:val="C97881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36517"/>
    <w:multiLevelType w:val="hybridMultilevel"/>
    <w:tmpl w:val="F0B6F9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73D20"/>
    <w:multiLevelType w:val="hybridMultilevel"/>
    <w:tmpl w:val="6B669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4CD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34B7E"/>
    <w:multiLevelType w:val="hybridMultilevel"/>
    <w:tmpl w:val="B654687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ED3862"/>
    <w:multiLevelType w:val="hybridMultilevel"/>
    <w:tmpl w:val="89FE6FC8"/>
    <w:lvl w:ilvl="0" w:tplc="FA400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A27B4"/>
    <w:multiLevelType w:val="hybridMultilevel"/>
    <w:tmpl w:val="DA9C4F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46C3F21"/>
    <w:multiLevelType w:val="hybridMultilevel"/>
    <w:tmpl w:val="0F36DE2A"/>
    <w:lvl w:ilvl="0" w:tplc="449A252E">
      <w:start w:val="1"/>
      <w:numFmt w:val="lowerLetter"/>
      <w:lvlText w:val="%1)"/>
      <w:lvlJc w:val="center"/>
      <w:pPr>
        <w:tabs>
          <w:tab w:val="num" w:pos="360"/>
        </w:tabs>
        <w:ind w:left="360" w:firstLine="288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7A537F"/>
    <w:multiLevelType w:val="hybridMultilevel"/>
    <w:tmpl w:val="0122C4EA"/>
    <w:lvl w:ilvl="0" w:tplc="C8C0E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25627"/>
    <w:multiLevelType w:val="multilevel"/>
    <w:tmpl w:val="1B9CA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90418AD"/>
    <w:multiLevelType w:val="hybridMultilevel"/>
    <w:tmpl w:val="BCAEF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13754"/>
    <w:multiLevelType w:val="hybridMultilevel"/>
    <w:tmpl w:val="2C6477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32C30"/>
    <w:multiLevelType w:val="multilevel"/>
    <w:tmpl w:val="B9BE45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6EF163F6"/>
    <w:multiLevelType w:val="hybridMultilevel"/>
    <w:tmpl w:val="BCAEF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57FE9"/>
    <w:multiLevelType w:val="hybridMultilevel"/>
    <w:tmpl w:val="96C6AD84"/>
    <w:lvl w:ilvl="0" w:tplc="EEDE5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D874C5"/>
    <w:multiLevelType w:val="hybridMultilevel"/>
    <w:tmpl w:val="09E023F2"/>
    <w:lvl w:ilvl="0" w:tplc="4D16A2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19"/>
  </w:num>
  <w:num w:numId="9">
    <w:abstractNumId w:val="4"/>
  </w:num>
  <w:num w:numId="10">
    <w:abstractNumId w:val="17"/>
  </w:num>
  <w:num w:numId="11">
    <w:abstractNumId w:val="22"/>
  </w:num>
  <w:num w:numId="12">
    <w:abstractNumId w:val="14"/>
  </w:num>
  <w:num w:numId="13">
    <w:abstractNumId w:val="0"/>
  </w:num>
  <w:num w:numId="14">
    <w:abstractNumId w:val="9"/>
  </w:num>
  <w:num w:numId="15">
    <w:abstractNumId w:val="12"/>
  </w:num>
  <w:num w:numId="16">
    <w:abstractNumId w:val="13"/>
  </w:num>
  <w:num w:numId="17">
    <w:abstractNumId w:val="20"/>
  </w:num>
  <w:num w:numId="18">
    <w:abstractNumId w:val="16"/>
  </w:num>
  <w:num w:numId="19">
    <w:abstractNumId w:val="6"/>
  </w:num>
  <w:num w:numId="20">
    <w:abstractNumId w:val="3"/>
  </w:num>
  <w:num w:numId="21">
    <w:abstractNumId w:val="18"/>
  </w:num>
  <w:num w:numId="22">
    <w:abstractNumId w:val="23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5A"/>
    <w:rsid w:val="000113E8"/>
    <w:rsid w:val="00033AEF"/>
    <w:rsid w:val="000371C0"/>
    <w:rsid w:val="00053C9E"/>
    <w:rsid w:val="00054F0C"/>
    <w:rsid w:val="00057BDA"/>
    <w:rsid w:val="000705F8"/>
    <w:rsid w:val="00070A7E"/>
    <w:rsid w:val="00081263"/>
    <w:rsid w:val="000818C7"/>
    <w:rsid w:val="000A2A07"/>
    <w:rsid w:val="000B16D2"/>
    <w:rsid w:val="000B3936"/>
    <w:rsid w:val="000B5D01"/>
    <w:rsid w:val="000C0B42"/>
    <w:rsid w:val="000D61C5"/>
    <w:rsid w:val="000E69D5"/>
    <w:rsid w:val="000E6EB8"/>
    <w:rsid w:val="00103C9D"/>
    <w:rsid w:val="00112773"/>
    <w:rsid w:val="00120067"/>
    <w:rsid w:val="00130A22"/>
    <w:rsid w:val="0013340E"/>
    <w:rsid w:val="00137A31"/>
    <w:rsid w:val="00142112"/>
    <w:rsid w:val="00175F5D"/>
    <w:rsid w:val="00177704"/>
    <w:rsid w:val="0018391A"/>
    <w:rsid w:val="00194F91"/>
    <w:rsid w:val="001A455B"/>
    <w:rsid w:val="001B50F9"/>
    <w:rsid w:val="001C2B4C"/>
    <w:rsid w:val="001D0D81"/>
    <w:rsid w:val="001E0005"/>
    <w:rsid w:val="001E6A5A"/>
    <w:rsid w:val="002240F2"/>
    <w:rsid w:val="0023135E"/>
    <w:rsid w:val="0023517A"/>
    <w:rsid w:val="002462CA"/>
    <w:rsid w:val="00246966"/>
    <w:rsid w:val="0025400D"/>
    <w:rsid w:val="0025600E"/>
    <w:rsid w:val="00256BAD"/>
    <w:rsid w:val="00270F18"/>
    <w:rsid w:val="00286E92"/>
    <w:rsid w:val="00295A57"/>
    <w:rsid w:val="002B7CDE"/>
    <w:rsid w:val="002C2824"/>
    <w:rsid w:val="002E3C87"/>
    <w:rsid w:val="002E6FFF"/>
    <w:rsid w:val="00300782"/>
    <w:rsid w:val="0031108F"/>
    <w:rsid w:val="0036375F"/>
    <w:rsid w:val="003863D4"/>
    <w:rsid w:val="003A133C"/>
    <w:rsid w:val="003A5C62"/>
    <w:rsid w:val="003A797D"/>
    <w:rsid w:val="003C0B87"/>
    <w:rsid w:val="003C3261"/>
    <w:rsid w:val="003C42A5"/>
    <w:rsid w:val="003D18AA"/>
    <w:rsid w:val="003D7B2D"/>
    <w:rsid w:val="00400D4D"/>
    <w:rsid w:val="004117FB"/>
    <w:rsid w:val="00413DFC"/>
    <w:rsid w:val="0042281E"/>
    <w:rsid w:val="00470803"/>
    <w:rsid w:val="00492959"/>
    <w:rsid w:val="00495C4C"/>
    <w:rsid w:val="0049724E"/>
    <w:rsid w:val="004C5D94"/>
    <w:rsid w:val="004E4F34"/>
    <w:rsid w:val="004F40B4"/>
    <w:rsid w:val="005000C0"/>
    <w:rsid w:val="00513087"/>
    <w:rsid w:val="00513865"/>
    <w:rsid w:val="005175E0"/>
    <w:rsid w:val="00520448"/>
    <w:rsid w:val="005427BA"/>
    <w:rsid w:val="0057748F"/>
    <w:rsid w:val="005A1B86"/>
    <w:rsid w:val="005A6F09"/>
    <w:rsid w:val="005D5761"/>
    <w:rsid w:val="00623DF3"/>
    <w:rsid w:val="00634959"/>
    <w:rsid w:val="0063605B"/>
    <w:rsid w:val="00640CC0"/>
    <w:rsid w:val="0065297E"/>
    <w:rsid w:val="00656B71"/>
    <w:rsid w:val="0065742C"/>
    <w:rsid w:val="006612A2"/>
    <w:rsid w:val="006C030D"/>
    <w:rsid w:val="006C39D2"/>
    <w:rsid w:val="006D5009"/>
    <w:rsid w:val="006E041C"/>
    <w:rsid w:val="006E5FF9"/>
    <w:rsid w:val="006F71F3"/>
    <w:rsid w:val="0070313C"/>
    <w:rsid w:val="0071104B"/>
    <w:rsid w:val="007332A0"/>
    <w:rsid w:val="00733CB1"/>
    <w:rsid w:val="00745C3B"/>
    <w:rsid w:val="00760D2F"/>
    <w:rsid w:val="007A7738"/>
    <w:rsid w:val="007C7D0C"/>
    <w:rsid w:val="007D6A76"/>
    <w:rsid w:val="00813CF6"/>
    <w:rsid w:val="00855A7D"/>
    <w:rsid w:val="008566D0"/>
    <w:rsid w:val="008823EC"/>
    <w:rsid w:val="008A130C"/>
    <w:rsid w:val="008A68B4"/>
    <w:rsid w:val="008B7F60"/>
    <w:rsid w:val="008C30E2"/>
    <w:rsid w:val="008C6D93"/>
    <w:rsid w:val="008D7A19"/>
    <w:rsid w:val="008E11C4"/>
    <w:rsid w:val="008F1BAA"/>
    <w:rsid w:val="008F674A"/>
    <w:rsid w:val="008F7C9E"/>
    <w:rsid w:val="00940228"/>
    <w:rsid w:val="00941439"/>
    <w:rsid w:val="00945E4A"/>
    <w:rsid w:val="00957B1E"/>
    <w:rsid w:val="009814C2"/>
    <w:rsid w:val="009A3C8F"/>
    <w:rsid w:val="009A7509"/>
    <w:rsid w:val="009C69AB"/>
    <w:rsid w:val="009D20A8"/>
    <w:rsid w:val="009D76CA"/>
    <w:rsid w:val="009E3BBE"/>
    <w:rsid w:val="009E6359"/>
    <w:rsid w:val="00A05FFA"/>
    <w:rsid w:val="00A07B23"/>
    <w:rsid w:val="00A2487A"/>
    <w:rsid w:val="00A2605A"/>
    <w:rsid w:val="00A41E7D"/>
    <w:rsid w:val="00A506ED"/>
    <w:rsid w:val="00A7116D"/>
    <w:rsid w:val="00A77638"/>
    <w:rsid w:val="00A86C4B"/>
    <w:rsid w:val="00AA5454"/>
    <w:rsid w:val="00AF43F8"/>
    <w:rsid w:val="00B052FE"/>
    <w:rsid w:val="00B21706"/>
    <w:rsid w:val="00B549A4"/>
    <w:rsid w:val="00B56B6D"/>
    <w:rsid w:val="00BA1F0D"/>
    <w:rsid w:val="00BA29E3"/>
    <w:rsid w:val="00BB2578"/>
    <w:rsid w:val="00BB7A0C"/>
    <w:rsid w:val="00BC1AA2"/>
    <w:rsid w:val="00BC41BD"/>
    <w:rsid w:val="00BD50DB"/>
    <w:rsid w:val="00BE1679"/>
    <w:rsid w:val="00BE41B0"/>
    <w:rsid w:val="00C039DE"/>
    <w:rsid w:val="00C050E9"/>
    <w:rsid w:val="00C0757B"/>
    <w:rsid w:val="00C2043B"/>
    <w:rsid w:val="00C20695"/>
    <w:rsid w:val="00C344A0"/>
    <w:rsid w:val="00C470C9"/>
    <w:rsid w:val="00C74756"/>
    <w:rsid w:val="00C95011"/>
    <w:rsid w:val="00CA0692"/>
    <w:rsid w:val="00CA321B"/>
    <w:rsid w:val="00CF0508"/>
    <w:rsid w:val="00D049C9"/>
    <w:rsid w:val="00D10BCB"/>
    <w:rsid w:val="00D26905"/>
    <w:rsid w:val="00D50AAD"/>
    <w:rsid w:val="00D81865"/>
    <w:rsid w:val="00D81A8D"/>
    <w:rsid w:val="00D95E2E"/>
    <w:rsid w:val="00DB48DD"/>
    <w:rsid w:val="00DB7DAA"/>
    <w:rsid w:val="00DC10BC"/>
    <w:rsid w:val="00DD0868"/>
    <w:rsid w:val="00DD73B0"/>
    <w:rsid w:val="00E12788"/>
    <w:rsid w:val="00E17310"/>
    <w:rsid w:val="00E2469C"/>
    <w:rsid w:val="00E43165"/>
    <w:rsid w:val="00E45D44"/>
    <w:rsid w:val="00E60DCA"/>
    <w:rsid w:val="00E818EA"/>
    <w:rsid w:val="00E8468C"/>
    <w:rsid w:val="00E97EC6"/>
    <w:rsid w:val="00EB1977"/>
    <w:rsid w:val="00EB7D4C"/>
    <w:rsid w:val="00ED08AF"/>
    <w:rsid w:val="00EE4D3F"/>
    <w:rsid w:val="00EE5546"/>
    <w:rsid w:val="00F221F6"/>
    <w:rsid w:val="00F2241C"/>
    <w:rsid w:val="00F27493"/>
    <w:rsid w:val="00F34BCF"/>
    <w:rsid w:val="00F54D17"/>
    <w:rsid w:val="00F560AB"/>
    <w:rsid w:val="00F568D7"/>
    <w:rsid w:val="00F60F71"/>
    <w:rsid w:val="00F949BE"/>
    <w:rsid w:val="00FA013E"/>
    <w:rsid w:val="00FA46EB"/>
    <w:rsid w:val="00FB51C4"/>
    <w:rsid w:val="00FB799F"/>
    <w:rsid w:val="00FD0F3E"/>
    <w:rsid w:val="00FE01F1"/>
    <w:rsid w:val="00FE0501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3D8DBAD"/>
  <w15:docId w15:val="{0E7CF092-7D8C-4164-9DE0-42E78460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C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6375F"/>
    <w:pPr>
      <w:keepNext/>
      <w:outlineLvl w:val="1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rsid w:val="0036375F"/>
    <w:pPr>
      <w:keepNext/>
      <w:jc w:val="center"/>
      <w:outlineLvl w:val="5"/>
    </w:pPr>
    <w:rPr>
      <w:rFonts w:ascii="Arial" w:hAnsi="Arial" w:cs="Arial"/>
      <w:b/>
      <w:bCs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9">
    <w:name w:val="Style39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44">
    <w:name w:val="Style44"/>
    <w:basedOn w:val="Normalny"/>
    <w:rsid w:val="001E6A5A"/>
    <w:pPr>
      <w:widowControl w:val="0"/>
      <w:autoSpaceDE w:val="0"/>
      <w:autoSpaceDN w:val="0"/>
      <w:adjustRightInd w:val="0"/>
      <w:spacing w:line="226" w:lineRule="exact"/>
      <w:ind w:hanging="374"/>
    </w:pPr>
    <w:rPr>
      <w:rFonts w:ascii="Arial" w:hAnsi="Arial" w:cs="Arial"/>
      <w:color w:val="663333"/>
    </w:rPr>
  </w:style>
  <w:style w:type="paragraph" w:customStyle="1" w:styleId="Style52">
    <w:name w:val="Style52"/>
    <w:basedOn w:val="Normalny"/>
    <w:rsid w:val="001E6A5A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color w:val="663333"/>
    </w:rPr>
  </w:style>
  <w:style w:type="paragraph" w:customStyle="1" w:styleId="Style59">
    <w:name w:val="Style59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60">
    <w:name w:val="Style60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66">
    <w:name w:val="Style66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character" w:customStyle="1" w:styleId="FontStyle70">
    <w:name w:val="Font Style70"/>
    <w:rsid w:val="001E6A5A"/>
    <w:rPr>
      <w:rFonts w:ascii="Calibri" w:hAnsi="Calibri" w:cs="Calibri"/>
      <w:b/>
      <w:bCs/>
      <w:sz w:val="18"/>
      <w:szCs w:val="18"/>
    </w:rPr>
  </w:style>
  <w:style w:type="character" w:customStyle="1" w:styleId="FontStyle76">
    <w:name w:val="Font Style76"/>
    <w:rsid w:val="001E6A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7">
    <w:name w:val="Font Style77"/>
    <w:rsid w:val="001E6A5A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rsid w:val="001E6A5A"/>
    <w:rPr>
      <w:rFonts w:ascii="Arial" w:hAnsi="Arial" w:cs="Arial"/>
      <w:sz w:val="14"/>
      <w:szCs w:val="14"/>
    </w:rPr>
  </w:style>
  <w:style w:type="paragraph" w:styleId="Nagwek">
    <w:name w:val="header"/>
    <w:basedOn w:val="Normalny"/>
    <w:link w:val="NagwekZnak"/>
    <w:rsid w:val="00256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560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60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600E"/>
    <w:rPr>
      <w:sz w:val="24"/>
      <w:szCs w:val="24"/>
    </w:rPr>
  </w:style>
  <w:style w:type="paragraph" w:customStyle="1" w:styleId="Plandokumentu1">
    <w:name w:val="Plan dokumentu1"/>
    <w:basedOn w:val="Normalny"/>
    <w:semiHidden/>
    <w:rsid w:val="00F60F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033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33AE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qFormat/>
    <w:rsid w:val="0051308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kapitzlist">
    <w:name w:val="List Paragraph"/>
    <w:basedOn w:val="Normalny"/>
    <w:uiPriority w:val="34"/>
    <w:qFormat/>
    <w:rsid w:val="002E6F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3EDA4-84D6-4211-8330-A099ED33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na zakup 9 sztuk stołów operacyjnych wraz z wyposażeniem</vt:lpstr>
    </vt:vector>
  </TitlesOfParts>
  <Company>Hewlett-Packard Company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na zakup 9 sztuk stołów operacyjnych wraz z wyposażeniem</dc:title>
  <dc:creator>Marcin</dc:creator>
  <cp:lastModifiedBy>Marzena Kopacka</cp:lastModifiedBy>
  <cp:revision>2</cp:revision>
  <cp:lastPrinted>2019-08-05T13:42:00Z</cp:lastPrinted>
  <dcterms:created xsi:type="dcterms:W3CDTF">2019-08-19T09:19:00Z</dcterms:created>
  <dcterms:modified xsi:type="dcterms:W3CDTF">2019-08-19T09:19:00Z</dcterms:modified>
</cp:coreProperties>
</file>