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85D1" w14:textId="4770A23F" w:rsidR="009E5FFE" w:rsidRDefault="00B1471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</w:t>
      </w:r>
      <w:r w:rsidR="00872790">
        <w:rPr>
          <w:rFonts w:ascii="Times New Roman" w:hAnsi="Times New Roman"/>
          <w:b/>
          <w:sz w:val="24"/>
          <w:szCs w:val="24"/>
        </w:rPr>
        <w:t>ałącznik nr III D</w:t>
      </w:r>
      <w:r w:rsidR="009E5FFE">
        <w:rPr>
          <w:rFonts w:ascii="Times New Roman" w:hAnsi="Times New Roman"/>
          <w:b/>
          <w:sz w:val="24"/>
          <w:szCs w:val="24"/>
        </w:rPr>
        <w:t xml:space="preserve"> do SIWZ –</w:t>
      </w:r>
    </w:p>
    <w:p w14:paraId="4AF6AEE8" w14:textId="59BF8CF5" w:rsidR="00B1471E" w:rsidRPr="00123AE7" w:rsidRDefault="009E5FF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E5FFE">
        <w:rPr>
          <w:rFonts w:ascii="Times New Roman" w:hAnsi="Times New Roman"/>
          <w:b/>
          <w:sz w:val="24"/>
          <w:szCs w:val="24"/>
        </w:rPr>
        <w:t>Zestawienie parametrów technicznych podlegających ocenie</w:t>
      </w:r>
      <w:r w:rsidR="00553131">
        <w:rPr>
          <w:rFonts w:ascii="Times New Roman" w:hAnsi="Times New Roman"/>
          <w:b/>
          <w:sz w:val="24"/>
          <w:szCs w:val="24"/>
        </w:rPr>
        <w:t xml:space="preserve"> – Zadanie nr II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p w14:paraId="1928B789" w14:textId="3E5C5D00" w:rsidR="00E449D7" w:rsidRPr="00123AE7" w:rsidRDefault="000544D0" w:rsidP="0005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b/>
          <w:sz w:val="28"/>
          <w:szCs w:val="28"/>
        </w:rPr>
        <w:t xml:space="preserve"> </w:t>
      </w:r>
      <w:r w:rsidR="00872790">
        <w:rPr>
          <w:rFonts w:ascii="Times New Roman" w:hAnsi="Times New Roman"/>
          <w:b/>
          <w:sz w:val="28"/>
          <w:szCs w:val="28"/>
        </w:rPr>
        <w:t>DZ</w:t>
      </w:r>
      <w:r>
        <w:rPr>
          <w:rFonts w:ascii="Times New Roman" w:hAnsi="Times New Roman"/>
          <w:b/>
          <w:sz w:val="28"/>
          <w:szCs w:val="28"/>
        </w:rPr>
        <w:t>-262-</w:t>
      </w:r>
      <w:r w:rsidR="0055313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/20</w:t>
      </w:r>
      <w:r w:rsidR="00553131">
        <w:rPr>
          <w:rFonts w:ascii="Times New Roman" w:hAnsi="Times New Roman"/>
          <w:b/>
          <w:sz w:val="28"/>
          <w:szCs w:val="28"/>
        </w:rPr>
        <w:t>18</w:t>
      </w:r>
    </w:p>
    <w:p w14:paraId="26D0A074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38B4036C" w:rsidR="00FB5064" w:rsidRPr="000544D0" w:rsidRDefault="00872790" w:rsidP="00FB5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 oferujemy niżej wymienione parametry techniczne podlegające ocenie:</w:t>
      </w:r>
    </w:p>
    <w:p w14:paraId="7868A383" w14:textId="77777777" w:rsidR="00553131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</w:p>
    <w:p w14:paraId="4F71D443" w14:textId="4E4F4B5D" w:rsidR="0094393E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Zadania nr </w:t>
      </w:r>
      <w:r w:rsidR="003A47A7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D31ACE1" w14:textId="77777777" w:rsidR="00177C4A" w:rsidRPr="000544D0" w:rsidRDefault="00177C4A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9E5FFE" w14:paraId="5FF7FCBB" w14:textId="45F5B8D6" w:rsidTr="003A47A7">
        <w:trPr>
          <w:trHeight w:val="690"/>
        </w:trPr>
        <w:tc>
          <w:tcPr>
            <w:tcW w:w="532" w:type="dxa"/>
            <w:vAlign w:val="center"/>
          </w:tcPr>
          <w:p w14:paraId="28BDA398" w14:textId="6374DEE3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5369" w:type="dxa"/>
            <w:vAlign w:val="center"/>
          </w:tcPr>
          <w:p w14:paraId="1EF60A5B" w14:textId="4E15788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Parametr podlegający ocenie</w:t>
            </w:r>
          </w:p>
        </w:tc>
        <w:tc>
          <w:tcPr>
            <w:tcW w:w="3204" w:type="dxa"/>
            <w:vAlign w:val="center"/>
          </w:tcPr>
          <w:p w14:paraId="656447ED" w14:textId="7777777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Oferowana wartość</w:t>
            </w:r>
            <w:r w:rsidR="00872790" w:rsidRPr="009E5FFE">
              <w:rPr>
                <w:rFonts w:asciiTheme="minorHAnsi" w:hAnsiTheme="minorHAnsi"/>
                <w:b/>
              </w:rPr>
              <w:t xml:space="preserve"> TAK/NIE</w:t>
            </w:r>
          </w:p>
          <w:p w14:paraId="7EC0C154" w14:textId="47D0B74B" w:rsidR="00872790" w:rsidRPr="009E5FFE" w:rsidRDefault="00872790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Opisać jeśli potrzeba</w:t>
            </w:r>
          </w:p>
        </w:tc>
      </w:tr>
      <w:tr w:rsidR="003A47A7" w:rsidRPr="009E5FFE" w14:paraId="0D1420C7" w14:textId="77777777" w:rsidTr="007A47B1">
        <w:trPr>
          <w:trHeight w:val="353"/>
        </w:trPr>
        <w:tc>
          <w:tcPr>
            <w:tcW w:w="9105" w:type="dxa"/>
            <w:gridSpan w:val="3"/>
            <w:vAlign w:val="center"/>
          </w:tcPr>
          <w:p w14:paraId="2D14ABEB" w14:textId="535AB9E8" w:rsidR="003A47A7" w:rsidRPr="009E5FFE" w:rsidRDefault="003A47A7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ZAAWANSOWANY SYMULATOR PACJENTA DOROSŁEGO- SALA PIELĘGNIARSKA</w:t>
            </w:r>
          </w:p>
        </w:tc>
      </w:tr>
      <w:tr w:rsidR="00872790" w:rsidRPr="009E5FFE" w14:paraId="793C0E21" w14:textId="77777777" w:rsidTr="003A47A7">
        <w:trPr>
          <w:trHeight w:val="988"/>
        </w:trPr>
        <w:tc>
          <w:tcPr>
            <w:tcW w:w="532" w:type="dxa"/>
            <w:vAlign w:val="center"/>
          </w:tcPr>
          <w:p w14:paraId="57E6D9E0" w14:textId="53282E7B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29AA158B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konfiguracji sieci bezprzewodowej w paśmie 2,4 GHz i/lub 5 GHz</w:t>
            </w:r>
          </w:p>
          <w:p w14:paraId="01745F0A" w14:textId="66CE4396" w:rsidR="00B61DFC" w:rsidRPr="00F27AE7" w:rsidRDefault="003A47A7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Tylko 2,4 GHz – 0 pkt., tylko 5 GHz – 2 pkt, 2,4 i 5 GHz – 3 pkt.</w:t>
            </w:r>
          </w:p>
        </w:tc>
        <w:tc>
          <w:tcPr>
            <w:tcW w:w="3204" w:type="dxa"/>
          </w:tcPr>
          <w:p w14:paraId="686EAEFD" w14:textId="12DBEC2E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0693A12" w14:textId="0DBC9AC2" w:rsidTr="007B1C54">
        <w:trPr>
          <w:trHeight w:val="272"/>
        </w:trPr>
        <w:tc>
          <w:tcPr>
            <w:tcW w:w="532" w:type="dxa"/>
            <w:vAlign w:val="center"/>
          </w:tcPr>
          <w:p w14:paraId="3B150F73" w14:textId="3DD63933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5ED4AFCD" w14:textId="24F1646F" w:rsidR="003A47A7" w:rsidRPr="00D65CAB" w:rsidRDefault="003A47A7" w:rsidP="00D65CAB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zmiany podatności płuc na kilku poziomach</w:t>
            </w:r>
            <w:r w:rsidRPr="00F27AE7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D65CAB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</w:t>
            </w:r>
            <w:r w:rsidR="00D65CAB">
              <w:rPr>
                <w:b/>
                <w:sz w:val="20"/>
                <w:szCs w:val="20"/>
              </w:rPr>
              <w:t xml:space="preserve">na 3 </w:t>
            </w:r>
            <w:r w:rsidRPr="00F27AE7">
              <w:rPr>
                <w:b/>
                <w:sz w:val="20"/>
                <w:szCs w:val="20"/>
              </w:rPr>
              <w:t>poziomach – 0 pkt., na 4 poziomach – 1 pkt., na 5 poziomach – 2 pkt.</w:t>
            </w:r>
          </w:p>
        </w:tc>
        <w:tc>
          <w:tcPr>
            <w:tcW w:w="3204" w:type="dxa"/>
          </w:tcPr>
          <w:p w14:paraId="1789AD2A" w14:textId="4F66358E" w:rsidR="00872790" w:rsidRPr="009E5FFE" w:rsidRDefault="00872790" w:rsidP="00C7215E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FE43E7B" w14:textId="0D44CF5F" w:rsidTr="003A47A7">
        <w:trPr>
          <w:trHeight w:val="501"/>
        </w:trPr>
        <w:tc>
          <w:tcPr>
            <w:tcW w:w="532" w:type="dxa"/>
            <w:vAlign w:val="center"/>
          </w:tcPr>
          <w:p w14:paraId="0E2D772B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2B906F2" w14:textId="77777777" w:rsidR="00B61DFC" w:rsidRDefault="003A47A7" w:rsidP="0035538E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zawierające bibliotekę minimum 30 rytmów pracy serca</w:t>
            </w:r>
          </w:p>
          <w:p w14:paraId="21CF7C67" w14:textId="2DD47DE4" w:rsidR="003A47A7" w:rsidRPr="00F27AE7" w:rsidRDefault="00C5423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b/>
                <w:sz w:val="20"/>
                <w:szCs w:val="20"/>
              </w:rPr>
              <w:t>min.</w:t>
            </w:r>
            <w:r w:rsidR="003A47A7" w:rsidRPr="00F27AE7">
              <w:rPr>
                <w:b/>
                <w:sz w:val="20"/>
                <w:szCs w:val="20"/>
              </w:rPr>
              <w:t xml:space="preserve"> 30 rytmów – 0 pkt., 100 rytmów – 2 pkt.</w:t>
            </w:r>
            <w:bookmarkStart w:id="0" w:name="_GoBack"/>
            <w:bookmarkEnd w:id="0"/>
            <w:r w:rsidR="003A47A7" w:rsidRPr="00F27AE7">
              <w:rPr>
                <w:b/>
                <w:sz w:val="20"/>
                <w:szCs w:val="20"/>
              </w:rPr>
              <w:t>, 150 rytmów – 4 pkt. Powyżej 150 rytmów – 6 pkt.</w:t>
            </w:r>
          </w:p>
        </w:tc>
        <w:tc>
          <w:tcPr>
            <w:tcW w:w="3204" w:type="dxa"/>
          </w:tcPr>
          <w:p w14:paraId="23D428D5" w14:textId="6DAC4922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1B053840" w14:textId="66908801" w:rsidTr="003A47A7">
        <w:trPr>
          <w:trHeight w:val="361"/>
        </w:trPr>
        <w:tc>
          <w:tcPr>
            <w:tcW w:w="532" w:type="dxa"/>
            <w:vAlign w:val="center"/>
          </w:tcPr>
          <w:p w14:paraId="42C5DFA0" w14:textId="498CA9B2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6B6139C" w14:textId="77777777" w:rsidR="003A47A7" w:rsidRDefault="003A47A7" w:rsidP="003A47A7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generowania minimum trzech rodzajów skurczów dodatkowych w zapisie EKG</w:t>
            </w:r>
          </w:p>
          <w:p w14:paraId="75AD78EE" w14:textId="1820AC36" w:rsidR="003A47A7" w:rsidRPr="00F27AE7" w:rsidRDefault="003A47A7" w:rsidP="003A47A7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3 rodzaje skurczów – 0 pkt., 4 rodzaje skurczów – 1 pkt., 5 rodzajów skurczów – 2 pkt.</w:t>
            </w:r>
          </w:p>
        </w:tc>
        <w:tc>
          <w:tcPr>
            <w:tcW w:w="3204" w:type="dxa"/>
          </w:tcPr>
          <w:p w14:paraId="51BE6EDF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56C51F3" w14:textId="77777777" w:rsidTr="007A47B1">
        <w:trPr>
          <w:trHeight w:val="274"/>
        </w:trPr>
        <w:tc>
          <w:tcPr>
            <w:tcW w:w="532" w:type="dxa"/>
            <w:vAlign w:val="center"/>
          </w:tcPr>
          <w:p w14:paraId="5382DFFD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59172231" w14:textId="77777777" w:rsidR="00A760F9" w:rsidRPr="00A760F9" w:rsidRDefault="00A760F9" w:rsidP="00B61DFC">
            <w:pPr>
              <w:spacing w:after="0"/>
              <w:rPr>
                <w:color w:val="FF0000"/>
                <w:sz w:val="20"/>
                <w:szCs w:val="20"/>
              </w:rPr>
            </w:pPr>
            <w:r w:rsidRPr="00A760F9">
              <w:rPr>
                <w:color w:val="FF0000"/>
                <w:sz w:val="20"/>
                <w:szCs w:val="20"/>
              </w:rPr>
              <w:t>Możliwość generowania rodzajów artefaktów w zapisie EKG</w:t>
            </w:r>
          </w:p>
          <w:p w14:paraId="0937F6FD" w14:textId="7B8F63AA" w:rsidR="003A47A7" w:rsidRPr="00A760F9" w:rsidRDefault="00A760F9" w:rsidP="00B61DFC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A760F9">
              <w:rPr>
                <w:b/>
                <w:color w:val="FF0000"/>
                <w:sz w:val="20"/>
                <w:szCs w:val="20"/>
              </w:rPr>
              <w:t xml:space="preserve">Od 0 do 3 </w:t>
            </w:r>
            <w:r w:rsidRPr="00A760F9">
              <w:rPr>
                <w:b/>
                <w:sz w:val="20"/>
                <w:szCs w:val="20"/>
              </w:rPr>
              <w:t xml:space="preserve">– 0 pkt., </w:t>
            </w:r>
            <w:r w:rsidRPr="00A760F9">
              <w:rPr>
                <w:b/>
                <w:i/>
                <w:color w:val="FF0000"/>
                <w:sz w:val="20"/>
                <w:szCs w:val="20"/>
              </w:rPr>
              <w:t>pow</w:t>
            </w:r>
            <w:r w:rsidRPr="00A760F9">
              <w:rPr>
                <w:b/>
                <w:sz w:val="20"/>
                <w:szCs w:val="20"/>
              </w:rPr>
              <w:t>. 3 rodzajów artefaktów – 1 pkt</w:t>
            </w:r>
          </w:p>
        </w:tc>
        <w:tc>
          <w:tcPr>
            <w:tcW w:w="3204" w:type="dxa"/>
          </w:tcPr>
          <w:p w14:paraId="15B46AA7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4B4F7EF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71D91C48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44116E9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 xml:space="preserve">Możliwość symulacji zapisu EKG z 12 </w:t>
            </w:r>
            <w:proofErr w:type="spellStart"/>
            <w:r w:rsidRPr="000E472C">
              <w:rPr>
                <w:sz w:val="20"/>
                <w:szCs w:val="20"/>
              </w:rPr>
              <w:t>odprowadzeń</w:t>
            </w:r>
            <w:proofErr w:type="spellEnd"/>
            <w:r w:rsidRPr="000E472C">
              <w:rPr>
                <w:sz w:val="20"/>
                <w:szCs w:val="20"/>
              </w:rPr>
              <w:t xml:space="preserve"> skorelowanego z 3 odprowadzeniowym EKG z powyższego punktu </w:t>
            </w:r>
          </w:p>
          <w:p w14:paraId="311EDD09" w14:textId="5886A153" w:rsidR="00B61DFC" w:rsidRPr="00F27AE7" w:rsidRDefault="003A47A7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brak 12-odprowadzeniowego EKG – 0 pkt., możliwość odczytu 12 odprowadzeniowego EKG – 5 pkt.</w:t>
            </w:r>
          </w:p>
        </w:tc>
        <w:tc>
          <w:tcPr>
            <w:tcW w:w="3204" w:type="dxa"/>
          </w:tcPr>
          <w:p w14:paraId="081264E2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3BBF296E" w14:textId="77777777" w:rsidTr="007A47B1">
        <w:trPr>
          <w:trHeight w:val="2541"/>
        </w:trPr>
        <w:tc>
          <w:tcPr>
            <w:tcW w:w="532" w:type="dxa"/>
            <w:vAlign w:val="center"/>
          </w:tcPr>
          <w:p w14:paraId="1CFDD6B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5075B47" w14:textId="77777777" w:rsidR="003A47A7" w:rsidRPr="000E472C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Dostęp do żyły dołu łokciowego z automatycznym rozpoznawaniem rodzaju i dawki podanego leku oraz fizjologiczną reakcją na podane leki i ich dawki. W komplecie wymienne zużywalne elementy w ilości 4 sztuk każdego elementu w przypadku, jeżeli funkcja została zaoferowana</w:t>
            </w:r>
          </w:p>
          <w:p w14:paraId="512212FA" w14:textId="2EECFCB0" w:rsidR="003A47A7" w:rsidRPr="00F27AE7" w:rsidRDefault="003A47A7" w:rsidP="003A47A7">
            <w:pPr>
              <w:tabs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 za automatyczne rozpoznawanie</w:t>
            </w:r>
            <w:r w:rsidRPr="00F27AE7">
              <w:rPr>
                <w:b/>
                <w:sz w:val="20"/>
                <w:szCs w:val="20"/>
              </w:rPr>
              <w:t>: tylko rodzaju leku – 0 pkt., rodzaju i dawki leku – 5 pkt., rodzaju i dawki podanego leku wraz z automatyczną fizjologiczną reakcją na podane leki i ich dawki – 10 pkt</w:t>
            </w:r>
            <w:r w:rsidRPr="00F27AE7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3204" w:type="dxa"/>
          </w:tcPr>
          <w:p w14:paraId="233ED00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646031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283C4930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37B9AD82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 xml:space="preserve">Możliwość wykonywania wkłuć domięśniowych, podskórnych i </w:t>
            </w:r>
            <w:proofErr w:type="spellStart"/>
            <w:r w:rsidRPr="000E472C">
              <w:rPr>
                <w:sz w:val="20"/>
                <w:szCs w:val="20"/>
              </w:rPr>
              <w:t>doszpikowych</w:t>
            </w:r>
            <w:proofErr w:type="spellEnd"/>
            <w:r w:rsidRPr="000E472C">
              <w:rPr>
                <w:sz w:val="20"/>
                <w:szCs w:val="20"/>
              </w:rPr>
              <w:t>. W komplecie wymienne zużywalne elementy w ilości 4 sztuk każdego elementu w przypadku, jeżeli funkcja została zaoferowana</w:t>
            </w:r>
          </w:p>
          <w:p w14:paraId="2BD08DE1" w14:textId="147B2DF9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jeden rodzaj wkłucia – 0 pkt., dwa rodzaje wkłucia – 1 pkt., 3 rodzaje wkłucia – 2 pkt.</w:t>
            </w:r>
          </w:p>
        </w:tc>
        <w:tc>
          <w:tcPr>
            <w:tcW w:w="3204" w:type="dxa"/>
          </w:tcPr>
          <w:p w14:paraId="7ADFC99A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E8E48F2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004B6434" w14:textId="77777777" w:rsidR="003A47A7" w:rsidRPr="00F27AE7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69" w:type="dxa"/>
          </w:tcPr>
          <w:p w14:paraId="3D104B8D" w14:textId="77777777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F27AE7">
              <w:rPr>
                <w:sz w:val="20"/>
                <w:szCs w:val="20"/>
              </w:rPr>
              <w:t>Możliwość osłuchiwania tonów serca oraz wad zastawkowych w minimum czterech miejscach na klatce piersiowej z możliwością niezależnego ustawienia w każdym z punktów</w:t>
            </w:r>
          </w:p>
          <w:p w14:paraId="674FE027" w14:textId="2F636FF4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>: 3 dźwięki – 0 pkt., 4 dźwięki – 1 pkt., 5 dźwięków – 2 pkt., powyżej 5 dźwięków – 3 pkt.</w:t>
            </w:r>
          </w:p>
        </w:tc>
        <w:tc>
          <w:tcPr>
            <w:tcW w:w="3204" w:type="dxa"/>
          </w:tcPr>
          <w:p w14:paraId="7E571A0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D08511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254968B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F0CD266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osłuchiwania szmerów oddechowych (prawidłowych i patologicznych) ustawianych oddzielnie dla prawego i lewego płuca, osłuchiwanych w łącznie minimum 10 miejscach z przodu i tyłu klatki piersiowej</w:t>
            </w:r>
          </w:p>
          <w:p w14:paraId="422024FE" w14:textId="1CAA14F3" w:rsidR="003A47A7" w:rsidRPr="00F27AE7" w:rsidRDefault="003A47A7" w:rsidP="00C5423C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 xml:space="preserve">min. </w:t>
            </w:r>
            <w:r w:rsidRPr="00F27AE7">
              <w:rPr>
                <w:b/>
                <w:sz w:val="20"/>
                <w:szCs w:val="20"/>
              </w:rPr>
              <w:t>5 szmerów – 0 pkt., 8 szmerów – 1 pkt., 10 szmerów – 2 pkt., 15 szmerów – 3 pkt., powyżej 15 szmerów – 4 pkt.</w:t>
            </w:r>
          </w:p>
        </w:tc>
        <w:tc>
          <w:tcPr>
            <w:tcW w:w="3204" w:type="dxa"/>
          </w:tcPr>
          <w:p w14:paraId="6637FD9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27FD28A4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1139302B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6130C60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Odgłosy perystaltyki jelit osłuchiwane w minimum dwóch miejscach na brzuchu</w:t>
            </w:r>
          </w:p>
          <w:p w14:paraId="59F98CC7" w14:textId="418E3321" w:rsidR="003A47A7" w:rsidRPr="00F27AE7" w:rsidRDefault="003A47A7" w:rsidP="00C5423C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2 miejsca – 0 pkt., 3 miejsca – 1 pkt., 4 miejsca – 3 pkt.</w:t>
            </w:r>
          </w:p>
        </w:tc>
        <w:tc>
          <w:tcPr>
            <w:tcW w:w="3204" w:type="dxa"/>
          </w:tcPr>
          <w:p w14:paraId="559AA01C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FB04982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5EB852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3E55937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nagrywania własnych odgłosów przez instruktorów i wykorzystywania ich w symulacji z opcją regulacji głośności</w:t>
            </w:r>
          </w:p>
          <w:p w14:paraId="775F1CC0" w14:textId="12FA05F0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brak możliwości – 0 pkt., jest możliwość – 5 pkt.</w:t>
            </w:r>
          </w:p>
        </w:tc>
        <w:tc>
          <w:tcPr>
            <w:tcW w:w="3204" w:type="dxa"/>
          </w:tcPr>
          <w:p w14:paraId="16DEE2D2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91C2E6C" w14:textId="77777777" w:rsidTr="00C5423C">
        <w:trPr>
          <w:trHeight w:val="557"/>
        </w:trPr>
        <w:tc>
          <w:tcPr>
            <w:tcW w:w="532" w:type="dxa"/>
            <w:vAlign w:val="center"/>
          </w:tcPr>
          <w:p w14:paraId="0ABDCD7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3D951DCB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symulacji krwawień tętniczych i żylnych w minimum dwóch niezależnych miejscach z regulacją siły i częstości w zależności od stanu „</w:t>
            </w:r>
            <w:r w:rsidRPr="000E472C">
              <w:rPr>
                <w:iCs/>
                <w:sz w:val="20"/>
                <w:szCs w:val="20"/>
              </w:rPr>
              <w:t>pacjenta</w:t>
            </w:r>
            <w:r w:rsidRPr="000E472C">
              <w:rPr>
                <w:sz w:val="20"/>
                <w:szCs w:val="20"/>
              </w:rPr>
              <w:t>”. W komplecie wymienne zużywalne elementy w ilości czterech sztuk każdego elementu oraz preparat w ilości wystarczającej na sporządzenie 20 litrów sztucznej krwi</w:t>
            </w:r>
          </w:p>
          <w:p w14:paraId="2E7F298A" w14:textId="764F9E2C" w:rsidR="003A47A7" w:rsidRPr="00F27AE7" w:rsidRDefault="003A47A7" w:rsidP="00C5423C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lastRenderedPageBreak/>
              <w:t>Punktacja</w:t>
            </w:r>
            <w:r w:rsidR="00C5423C">
              <w:rPr>
                <w:b/>
                <w:sz w:val="20"/>
                <w:szCs w:val="20"/>
              </w:rPr>
              <w:t>: min.</w:t>
            </w:r>
            <w:r w:rsidRPr="00F27AE7">
              <w:rPr>
                <w:b/>
                <w:sz w:val="20"/>
                <w:szCs w:val="20"/>
              </w:rPr>
              <w:t xml:space="preserve"> 2 miejsca – 0 pkt., 3 miejsca – 1 pkt., 4 miejsca – 2 pkt., 5 miejsc – 3 pkt., 6 miejsc – 4 pkt.</w:t>
            </w:r>
          </w:p>
        </w:tc>
        <w:tc>
          <w:tcPr>
            <w:tcW w:w="3204" w:type="dxa"/>
          </w:tcPr>
          <w:p w14:paraId="5F696387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CECC9D3" w14:textId="77777777" w:rsidTr="00F27AE7">
        <w:trPr>
          <w:trHeight w:val="932"/>
        </w:trPr>
        <w:tc>
          <w:tcPr>
            <w:tcW w:w="532" w:type="dxa"/>
            <w:vAlign w:val="center"/>
          </w:tcPr>
          <w:p w14:paraId="3E3D98C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23F8E361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do obsługi symulatora w języku angielskim oraz opcjonalnie w polskim</w:t>
            </w:r>
          </w:p>
          <w:p w14:paraId="5C1B5F50" w14:textId="7D02B5BB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tylko angielski – 0 pkt, dodatkowo polski 10 pkt,</w:t>
            </w:r>
          </w:p>
        </w:tc>
        <w:tc>
          <w:tcPr>
            <w:tcW w:w="3204" w:type="dxa"/>
          </w:tcPr>
          <w:p w14:paraId="2124696A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2E71DB5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E38BA2E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AAADE2C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oprogramowanie aplikacji sterującej symulatorem, monitorem pacjenta oraz oprogramowaniem do tworzenia scenariuszy z identycznym interfejsem użytkownika oraz funkcjami dla pozostałych symulatorów: kobiety rodzącej, dziecka, niemowlęcia i noworodka</w:t>
            </w:r>
          </w:p>
          <w:p w14:paraId="714B61EE" w14:textId="13112491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identycznego systemu dla opisanych symulatorów – 0 pkt, System identyczny dla wszystkich opisanych symulatorów – 20 pkt,</w:t>
            </w:r>
          </w:p>
        </w:tc>
        <w:tc>
          <w:tcPr>
            <w:tcW w:w="3204" w:type="dxa"/>
          </w:tcPr>
          <w:p w14:paraId="73F8E4E3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DF7FCC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3E556488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95727B9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budowy scenariuszy zdarzeń przez użytkownika przy użyciu dołączonego oprogramowania – bezpłatny dostęp w ramach dostarczonego zestawu dla minimum 3 użytkowników</w:t>
            </w:r>
          </w:p>
          <w:p w14:paraId="6CFE9CBB" w14:textId="46DE0F6C" w:rsidR="003A47A7" w:rsidRPr="00F27AE7" w:rsidRDefault="003A47A7" w:rsidP="00C5423C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3 użytkowników – 0 pkt., 5 użytkowników – 1 pkt., 8 użytkowników – 2 pkt., 10 użytkowników – 3 pkt., powyżej 10 – 4 pkt.</w:t>
            </w:r>
          </w:p>
        </w:tc>
        <w:tc>
          <w:tcPr>
            <w:tcW w:w="3204" w:type="dxa"/>
          </w:tcPr>
          <w:p w14:paraId="7ECF9E47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707F264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317F50C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67F0CDDD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Potwierdzony na dzień składania ofert dostęp on-line do bazy scenariuszy z możliwością bezpłatnego przetestowania i sprawdzenia scenariusza przez minimum 48 godziny oraz możliwością zakupu nowych scenariuszy (proszę o podanie adresu on-line oraz sposobu, w jaki zamawiający może sprawdzić dane zawarte w ofercie). Możliwość zakupu scenariuszy zgodnie z procedurami Zamawiającego (zapłata przelewem po wystawieniu faktury)</w:t>
            </w:r>
          </w:p>
          <w:p w14:paraId="7C4B10A6" w14:textId="77CBFCA7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>: brak dostępu on-line do scenariuszy i bezpłatnego testowania – 0 pkt., dostęp on-line i bezpłatne 48-godzinne testowanie: poniżej 10 scenariuszy – 0 pkt., 10 scenariuszy – 1 pkt., 20 scenariuszy – 2 pkt., 30 scenariuszy – 3 pkt., 50 scenariuszy – 5 pkt., 100 scenariuszy – 10 pkt., 200 i więcej scenariuszy – 20 pkt.</w:t>
            </w:r>
          </w:p>
        </w:tc>
        <w:tc>
          <w:tcPr>
            <w:tcW w:w="3204" w:type="dxa"/>
          </w:tcPr>
          <w:p w14:paraId="66CAA424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5EA9B412" w14:textId="77777777" w:rsidTr="00F27AE7">
        <w:trPr>
          <w:trHeight w:val="463"/>
        </w:trPr>
        <w:tc>
          <w:tcPr>
            <w:tcW w:w="9105" w:type="dxa"/>
            <w:gridSpan w:val="3"/>
            <w:vAlign w:val="center"/>
          </w:tcPr>
          <w:p w14:paraId="34C402BC" w14:textId="75364941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SYMULATOR USG - SALA PIELĘGNIARSKA</w:t>
            </w:r>
          </w:p>
        </w:tc>
      </w:tr>
      <w:tr w:rsidR="003A47A7" w:rsidRPr="009E5FFE" w14:paraId="2735AC80" w14:textId="77777777" w:rsidTr="00F27AE7">
        <w:trPr>
          <w:trHeight w:val="274"/>
        </w:trPr>
        <w:tc>
          <w:tcPr>
            <w:tcW w:w="532" w:type="dxa"/>
            <w:vAlign w:val="center"/>
          </w:tcPr>
          <w:p w14:paraId="5E157732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766F994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 xml:space="preserve">Opcjonalnie w zestawie scenariusze z obrazami USG z zakresu opieki kardiologicznej, intensywnej terapii i opieki pourazowej z zastosowaniem procedur FAST, RUSH </w:t>
            </w:r>
          </w:p>
          <w:p w14:paraId="788A93E6" w14:textId="0417F4B2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scenariuszy– 0 pkt., za każdy dołączony scenariusz - 1 pkt., z maksymalna ilość punktów dla tej opcji - 20</w:t>
            </w:r>
          </w:p>
        </w:tc>
        <w:tc>
          <w:tcPr>
            <w:tcW w:w="3204" w:type="dxa"/>
          </w:tcPr>
          <w:p w14:paraId="7758DD7B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729B60C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5CB8BB3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46A1F45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ręczne wypełnianie płynami symulującymi „narządów” wewnętrznych symulatora – różne ilości płynów do symulacji różnego poziomu uszkodzeń wewnętrznych</w:t>
            </w:r>
          </w:p>
          <w:p w14:paraId="35F375A4" w14:textId="244B37FF" w:rsidR="003A47A7" w:rsidRPr="00F27AE7" w:rsidRDefault="00F27AE7" w:rsidP="00F27AE7">
            <w:pPr>
              <w:tabs>
                <w:tab w:val="num" w:pos="0"/>
                <w:tab w:val="num" w:pos="720"/>
              </w:tabs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 – 0 pkt, możliwość wypełniania płynami – 10 pkt</w:t>
            </w:r>
          </w:p>
        </w:tc>
        <w:tc>
          <w:tcPr>
            <w:tcW w:w="3204" w:type="dxa"/>
          </w:tcPr>
          <w:p w14:paraId="57F4D8B0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4773040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2ECC0780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52F0A8D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możliwość współpracy symulatora USG z symulatorem osoby dorosłej</w:t>
            </w:r>
          </w:p>
          <w:p w14:paraId="64488387" w14:textId="5A928245" w:rsidR="00F27AE7" w:rsidRPr="00F27AE7" w:rsidRDefault="00F27AE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możliwości– 0 pkt., możliwość współpracy z symulatorem osoby dorosłej  – 10 pkt.</w:t>
            </w:r>
          </w:p>
        </w:tc>
        <w:tc>
          <w:tcPr>
            <w:tcW w:w="3204" w:type="dxa"/>
          </w:tcPr>
          <w:p w14:paraId="4CEABD91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593202E" w14:textId="77777777" w:rsidTr="00F27AE7">
        <w:trPr>
          <w:trHeight w:val="2234"/>
        </w:trPr>
        <w:tc>
          <w:tcPr>
            <w:tcW w:w="532" w:type="dxa"/>
            <w:vAlign w:val="center"/>
          </w:tcPr>
          <w:p w14:paraId="7248E377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EB7BD24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możliwość wykorzystania scenariuszy szkoleniowych do nauki resuscytacji kardiologicznej, intensywnej terapii i opieki pourazowej z możliwością wykorzystania badań i obrazów USG w trakcie ćwiczeń z możliwością automatycznego nagrywania obrazu USG w scenariuszach uruchamianych dla symulatora osoby dorosłej</w:t>
            </w:r>
          </w:p>
          <w:p w14:paraId="714B4FCD" w14:textId="27561B74" w:rsidR="00F27AE7" w:rsidRPr="00F27AE7" w:rsidRDefault="00F27AE7" w:rsidP="00F27AE7">
            <w:pPr>
              <w:tabs>
                <w:tab w:val="num" w:pos="0"/>
                <w:tab w:val="num" w:pos="720"/>
              </w:tabs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możliwości– 0 pkt., możliwość wykorzystania scenariuszy z USG przez symulator osoby dorosłej – 10 pkt.</w:t>
            </w:r>
          </w:p>
        </w:tc>
        <w:tc>
          <w:tcPr>
            <w:tcW w:w="3204" w:type="dxa"/>
          </w:tcPr>
          <w:p w14:paraId="71416A2C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F27AE7" w:rsidRPr="009E5FFE" w14:paraId="6E7C5B3E" w14:textId="77777777" w:rsidTr="00F27AE7">
        <w:trPr>
          <w:trHeight w:val="611"/>
        </w:trPr>
        <w:tc>
          <w:tcPr>
            <w:tcW w:w="9105" w:type="dxa"/>
            <w:gridSpan w:val="3"/>
            <w:vAlign w:val="center"/>
          </w:tcPr>
          <w:p w14:paraId="669EA066" w14:textId="14D3D2BE" w:rsidR="00F27AE7" w:rsidRPr="009E5FFE" w:rsidRDefault="00F27AE7" w:rsidP="00FB5064">
            <w:pPr>
              <w:spacing w:after="0"/>
              <w:rPr>
                <w:rFonts w:asciiTheme="minorHAnsi" w:hAnsiTheme="minorHAnsi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SYSTEM DEBRIE</w:t>
            </w:r>
            <w:r>
              <w:rPr>
                <w:b/>
                <w:bCs/>
                <w:snapToGrid w:val="0"/>
                <w:sz w:val="20"/>
                <w:szCs w:val="20"/>
              </w:rPr>
              <w:t>FINGU - SALA PIELĘGNIARSKA</w:t>
            </w:r>
          </w:p>
        </w:tc>
      </w:tr>
      <w:tr w:rsidR="003A47A7" w:rsidRPr="009E5FFE" w14:paraId="68D476A6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76B0E1FD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6E076D04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sterujące w języku angielskim oraz opcjonalnie w polskim</w:t>
            </w:r>
          </w:p>
          <w:p w14:paraId="7ADAA503" w14:textId="2DEE2F96" w:rsidR="00F27AE7" w:rsidRPr="00F27AE7" w:rsidRDefault="00F27AE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tylko angielski – 0 pkt, dodatkowo polski 10 pkt</w:t>
            </w:r>
          </w:p>
        </w:tc>
        <w:tc>
          <w:tcPr>
            <w:tcW w:w="3204" w:type="dxa"/>
          </w:tcPr>
          <w:p w14:paraId="30F958E8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5CE8F165" w14:textId="77777777" w:rsidR="0094393E" w:rsidRPr="00123AE7" w:rsidRDefault="0094393E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1B05C2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8DD29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94722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ACA01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45C5B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800A7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6E32518F" w14:textId="01D73A7B" w:rsidR="00FD2A58" w:rsidRPr="009E5FFE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</w:t>
      </w:r>
      <w:r w:rsidR="009E5FFE">
        <w:rPr>
          <w:rFonts w:ascii="Times New Roman" w:hAnsi="Times New Roman"/>
          <w:i/>
          <w:sz w:val="18"/>
          <w:szCs w:val="18"/>
        </w:rPr>
        <w:t>(miejscowość)</w:t>
      </w: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4CE81289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</w:t>
      </w:r>
      <w:r w:rsidR="009E5FFE">
        <w:rPr>
          <w:rFonts w:ascii="Times New Roman" w:hAnsi="Times New Roman"/>
          <w:i/>
          <w:sz w:val="18"/>
          <w:szCs w:val="24"/>
        </w:rPr>
        <w:t>onego przedstawiciela Wykonawcy</w:t>
      </w:r>
    </w:p>
    <w:p w14:paraId="661567BC" w14:textId="77777777" w:rsidR="005802D8" w:rsidRPr="00123AE7" w:rsidRDefault="005802D8" w:rsidP="009E5FFE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0965" w14:textId="77777777" w:rsidR="00F27AE7" w:rsidRDefault="00F27AE7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F27AE7" w:rsidRDefault="00F27AE7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3C7D9" w14:textId="77777777" w:rsidR="00F27AE7" w:rsidRDefault="00F27A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4807" w14:textId="77777777" w:rsidR="00F27AE7" w:rsidRPr="00E32484" w:rsidRDefault="00F27AE7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A760F9" w:rsidRPr="00A760F9">
      <w:rPr>
        <w:rFonts w:eastAsia="Times New Roman"/>
        <w:noProof/>
        <w:sz w:val="18"/>
        <w:szCs w:val="18"/>
      </w:rPr>
      <w:t>3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F27AE7" w:rsidRDefault="00F27A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E1E2" w14:textId="77777777" w:rsidR="00F27AE7" w:rsidRPr="00ED08EB" w:rsidRDefault="00F27AE7" w:rsidP="00ED08EB">
    <w:pPr>
      <w:spacing w:after="0" w:line="240" w:lineRule="auto"/>
      <w:jc w:val="both"/>
    </w:pPr>
    <w:r w:rsidRPr="00ED08EB">
      <w:rPr>
        <w:rFonts w:ascii="Times New Roman" w:hAnsi="Times New Roman"/>
        <w:sz w:val="16"/>
        <w:szCs w:val="16"/>
      </w:rPr>
      <w:t xml:space="preserve">Projekt pn. </w:t>
    </w:r>
    <w:r w:rsidRPr="00ED08EB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ED08EB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6C1DFAB0" w14:textId="2D6B13AC" w:rsidR="00F27AE7" w:rsidRDefault="00F27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68D" w14:textId="77777777" w:rsidR="00F27AE7" w:rsidRDefault="00F27AE7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F27AE7" w:rsidRDefault="00F27AE7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7F0" w14:textId="77777777" w:rsidR="00F27AE7" w:rsidRDefault="00A760F9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3F60" w14:textId="77777777" w:rsidR="00F27AE7" w:rsidRDefault="00A760F9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6C38" w14:textId="77777777" w:rsidR="00F27AE7" w:rsidRDefault="00F27AE7" w:rsidP="00ED08EB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DBE86C5" wp14:editId="41451918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9" name="Obraz 9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2E08C5B" wp14:editId="4B754258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8" name="Obraz 8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6C7F0827" wp14:editId="6068A65E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14:paraId="314ED965" w14:textId="3771053B" w:rsidR="00F27AE7" w:rsidRDefault="00A760F9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77C4A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7A7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131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A97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2EB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7B1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1C54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790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766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5FF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0F9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1DFC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3C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5CAB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8EB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27AE7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  <w15:docId w15:val="{7FEE002F-0C1B-4C2F-A05A-CEE0852E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:rsidR="00A878C5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3E46EA"/>
    <w:rsid w:val="009C45B0"/>
    <w:rsid w:val="00A878C5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299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1D627-1C2E-4D12-A179-2BB0877B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7317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Izabela Leżańska</cp:lastModifiedBy>
  <cp:revision>3</cp:revision>
  <cp:lastPrinted>2016-03-14T07:22:00Z</cp:lastPrinted>
  <dcterms:created xsi:type="dcterms:W3CDTF">2018-07-18T09:24:00Z</dcterms:created>
  <dcterms:modified xsi:type="dcterms:W3CDTF">2018-07-20T06:37:00Z</dcterms:modified>
</cp:coreProperties>
</file>