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BA" w:rsidRDefault="001354BA" w:rsidP="001354BA">
      <w:pPr>
        <w:jc w:val="center"/>
        <w:rPr>
          <w:b/>
          <w:i/>
          <w:sz w:val="28"/>
          <w:szCs w:val="28"/>
        </w:rPr>
      </w:pPr>
    </w:p>
    <w:p w:rsidR="00E837E7" w:rsidRDefault="001354BA" w:rsidP="001354BA">
      <w:pPr>
        <w:jc w:val="center"/>
      </w:pPr>
      <w:r w:rsidRPr="007F18C0">
        <w:rPr>
          <w:b/>
          <w:i/>
          <w:sz w:val="28"/>
          <w:szCs w:val="28"/>
        </w:rPr>
        <w:t>Zestawienie parametrów techniczno-użytkowych przedmiotu zamówienia</w:t>
      </w:r>
      <w:r>
        <w:rPr>
          <w:b/>
          <w:i/>
          <w:sz w:val="28"/>
          <w:szCs w:val="28"/>
        </w:rPr>
        <w:br/>
      </w:r>
      <w:r w:rsidR="00C35196" w:rsidRPr="00C35196">
        <w:rPr>
          <w:b/>
          <w:sz w:val="28"/>
          <w:szCs w:val="28"/>
        </w:rPr>
        <w:t>DOSTAWA URZĄDZEŃ SIECIOWYCH</w:t>
      </w:r>
      <w:r>
        <w:rPr>
          <w:b/>
          <w:sz w:val="28"/>
          <w:szCs w:val="28"/>
        </w:rPr>
        <w:br/>
      </w:r>
      <w:r w:rsidR="00E837E7" w:rsidRPr="00C35196">
        <w:t>Minimalne wymagania parametrów technicznych dla</w:t>
      </w:r>
      <w:r w:rsidR="00B6326A" w:rsidRPr="00C35196">
        <w:t xml:space="preserve"> punktów dostępowych sieci WLAN</w:t>
      </w:r>
    </w:p>
    <w:p w:rsidR="001354BA" w:rsidRPr="00106A70" w:rsidRDefault="001354BA" w:rsidP="001354BA">
      <w:pPr>
        <w:jc w:val="center"/>
      </w:pPr>
    </w:p>
    <w:tbl>
      <w:tblPr>
        <w:tblStyle w:val="Tabela-Siatka"/>
        <w:tblW w:w="5021" w:type="pct"/>
        <w:tblLayout w:type="fixed"/>
        <w:tblLook w:val="04A0" w:firstRow="1" w:lastRow="0" w:firstColumn="1" w:lastColumn="0" w:noHBand="0" w:noVBand="1"/>
      </w:tblPr>
      <w:tblGrid>
        <w:gridCol w:w="818"/>
        <w:gridCol w:w="2229"/>
        <w:gridCol w:w="40"/>
        <w:gridCol w:w="6095"/>
        <w:gridCol w:w="18"/>
        <w:gridCol w:w="6216"/>
      </w:tblGrid>
      <w:tr w:rsidR="00C35196" w:rsidRPr="00106A70" w:rsidTr="00B8269D">
        <w:trPr>
          <w:trHeight w:val="454"/>
        </w:trPr>
        <w:tc>
          <w:tcPr>
            <w:tcW w:w="265" w:type="pct"/>
            <w:shd w:val="clear" w:color="auto" w:fill="BFBFBF" w:themeFill="background1" w:themeFillShade="BF"/>
            <w:vAlign w:val="center"/>
          </w:tcPr>
          <w:p w:rsidR="00C35196" w:rsidRPr="00106A70" w:rsidRDefault="00C35196" w:rsidP="00E76B28">
            <w:pPr>
              <w:jc w:val="center"/>
              <w:rPr>
                <w:b/>
              </w:rPr>
            </w:pPr>
            <w:r w:rsidRPr="00106A70">
              <w:rPr>
                <w:b/>
              </w:rPr>
              <w:t>L</w:t>
            </w:r>
            <w:r>
              <w:rPr>
                <w:b/>
              </w:rPr>
              <w:t xml:space="preserve">. </w:t>
            </w:r>
            <w:r w:rsidRPr="00106A70">
              <w:rPr>
                <w:b/>
              </w:rPr>
              <w:t>p.</w:t>
            </w:r>
          </w:p>
        </w:tc>
        <w:tc>
          <w:tcPr>
            <w:tcW w:w="723" w:type="pct"/>
            <w:shd w:val="clear" w:color="auto" w:fill="BFBFBF" w:themeFill="background1" w:themeFillShade="BF"/>
            <w:vAlign w:val="center"/>
          </w:tcPr>
          <w:p w:rsidR="00C35196" w:rsidRPr="00106A70" w:rsidRDefault="00C35196" w:rsidP="00E76B28">
            <w:pPr>
              <w:jc w:val="center"/>
              <w:rPr>
                <w:b/>
              </w:rPr>
            </w:pPr>
            <w:r w:rsidRPr="00106A70">
              <w:rPr>
                <w:b/>
              </w:rPr>
              <w:t>Nazwa komponentu</w:t>
            </w:r>
          </w:p>
        </w:tc>
        <w:tc>
          <w:tcPr>
            <w:tcW w:w="1996" w:type="pct"/>
            <w:gridSpan w:val="3"/>
            <w:shd w:val="clear" w:color="auto" w:fill="BFBFBF" w:themeFill="background1" w:themeFillShade="BF"/>
            <w:vAlign w:val="center"/>
          </w:tcPr>
          <w:p w:rsidR="00C35196" w:rsidRPr="00106A70" w:rsidRDefault="00C35196" w:rsidP="00E76B28">
            <w:pPr>
              <w:jc w:val="center"/>
              <w:rPr>
                <w:b/>
              </w:rPr>
            </w:pPr>
            <w:r w:rsidRPr="00106A70">
              <w:rPr>
                <w:b/>
              </w:rPr>
              <w:t>Wymagane minimalne parametry techniczne</w:t>
            </w:r>
          </w:p>
        </w:tc>
        <w:tc>
          <w:tcPr>
            <w:tcW w:w="2016" w:type="pct"/>
            <w:shd w:val="clear" w:color="auto" w:fill="BFBFBF" w:themeFill="background1" w:themeFillShade="BF"/>
          </w:tcPr>
          <w:p w:rsidR="00C35196" w:rsidRPr="00106A70" w:rsidRDefault="00C35196" w:rsidP="00E76B28">
            <w:pPr>
              <w:jc w:val="center"/>
              <w:rPr>
                <w:b/>
              </w:rPr>
            </w:pPr>
            <w:r w:rsidRPr="00D5387E">
              <w:rPr>
                <w:b/>
              </w:rPr>
              <w:t>Parametry oferowane (podać, opisać) należy szczegółowo opisać każdy oferowany parametr</w:t>
            </w:r>
          </w:p>
        </w:tc>
      </w:tr>
      <w:tr w:rsidR="00C35196" w:rsidRPr="00106A70" w:rsidTr="00B8269D">
        <w:trPr>
          <w:trHeight w:val="454"/>
        </w:trPr>
        <w:tc>
          <w:tcPr>
            <w:tcW w:w="265" w:type="pct"/>
            <w:shd w:val="clear" w:color="auto" w:fill="D9D9D9" w:themeFill="background1" w:themeFillShade="D9"/>
            <w:vAlign w:val="center"/>
          </w:tcPr>
          <w:p w:rsidR="00C35196" w:rsidRPr="00106A70" w:rsidRDefault="00C35196" w:rsidP="00E76B2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35" w:type="pct"/>
            <w:gridSpan w:val="5"/>
            <w:shd w:val="clear" w:color="auto" w:fill="D9D9D9" w:themeFill="background1" w:themeFillShade="D9"/>
            <w:vAlign w:val="center"/>
          </w:tcPr>
          <w:p w:rsidR="00C35196" w:rsidRPr="00D5387E" w:rsidRDefault="00C35196" w:rsidP="00C35196">
            <w:pPr>
              <w:rPr>
                <w:b/>
              </w:rPr>
            </w:pPr>
            <w:r>
              <w:rPr>
                <w:b/>
              </w:rPr>
              <w:t xml:space="preserve">ACCESS POINT </w:t>
            </w:r>
            <w:r w:rsidR="00862F9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62F9B">
              <w:rPr>
                <w:b/>
              </w:rPr>
              <w:t>3 SZTUKI</w:t>
            </w: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Pasma robocze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1F538A">
            <w:pPr>
              <w:pStyle w:val="Akapitzlist"/>
              <w:numPr>
                <w:ilvl w:val="0"/>
                <w:numId w:val="1"/>
              </w:numPr>
            </w:pPr>
            <w:r w:rsidRPr="00106A70">
              <w:t>punkty dostępowe muszą obsługiwać równolegle dwa pasma częstotliwości</w:t>
            </w:r>
          </w:p>
          <w:p w:rsidR="00C35196" w:rsidRPr="00106A70" w:rsidRDefault="00C35196" w:rsidP="00401D08">
            <w:pPr>
              <w:pStyle w:val="Akapitzlist"/>
              <w:ind w:left="360"/>
            </w:pPr>
            <w:r w:rsidRPr="00106A70">
              <w:t>802.11ac/a/n (5 GHz) i 802.11b/g/n (2,4 GHz)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Kompatybilność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1F538A">
            <w:pPr>
              <w:pStyle w:val="Akapitzlist"/>
              <w:numPr>
                <w:ilvl w:val="0"/>
                <w:numId w:val="2"/>
              </w:numPr>
            </w:pPr>
            <w:r w:rsidRPr="00106A70">
              <w:t>punkt dostępowy musi być kompatybilny z posiadanym przez zamawiającego kontrolerem sieci bezprzewodowej Extreme Networks V2110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Interfejsy fizyczne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1F538A">
            <w:pPr>
              <w:pStyle w:val="Akapitzlist"/>
              <w:numPr>
                <w:ilvl w:val="0"/>
                <w:numId w:val="2"/>
              </w:numPr>
            </w:pPr>
            <w:r w:rsidRPr="00106A70">
              <w:t xml:space="preserve">2 porty 10/100/1000 Base-T RJ-45 z technologią </w:t>
            </w:r>
            <w:proofErr w:type="spellStart"/>
            <w:r w:rsidRPr="00106A70">
              <w:t>autosensing</w:t>
            </w:r>
            <w:proofErr w:type="spellEnd"/>
          </w:p>
          <w:p w:rsidR="00C35196" w:rsidRPr="00106A70" w:rsidRDefault="00C35196" w:rsidP="001F538A">
            <w:pPr>
              <w:pStyle w:val="Akapitzlist"/>
              <w:numPr>
                <w:ilvl w:val="0"/>
                <w:numId w:val="2"/>
              </w:numPr>
            </w:pPr>
            <w:r w:rsidRPr="00106A70">
              <w:t>dedykowany port konsoli zarządzającej typu RJ-45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Standardy sieciowe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1F538A">
            <w:r w:rsidRPr="00106A70">
              <w:t>Punkt dostępowy musi obsługiwać następujące funkcjonalności: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zgodność z DFS2 (</w:t>
            </w:r>
            <w:proofErr w:type="spellStart"/>
            <w:r w:rsidRPr="00106A70">
              <w:t>Dynamic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Frequency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Selection</w:t>
            </w:r>
            <w:proofErr w:type="spellEnd"/>
            <w:r w:rsidRPr="00106A70">
              <w:t>) by dopuścić dodatkowe kanały w paśmie 5 GHz,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punkty </w:t>
            </w:r>
            <w:r w:rsidRPr="00C35196">
              <w:rPr>
                <w:sz w:val="28"/>
                <w:szCs w:val="28"/>
              </w:rPr>
              <w:t>dostępowe</w:t>
            </w:r>
            <w:r w:rsidRPr="00106A70">
              <w:t xml:space="preserve"> muszą obsługiwać IP </w:t>
            </w:r>
            <w:proofErr w:type="spellStart"/>
            <w:r w:rsidRPr="00106A70">
              <w:t>QoS</w:t>
            </w:r>
            <w:proofErr w:type="spellEnd"/>
            <w:r w:rsidRPr="00106A70">
              <w:t xml:space="preserve"> w środowisku przewodowym i bezprzewodowym. Rozróżnianie pakietów musi być realizowane dla przychodzących i wychodzących pakietów z sieci bezprzewodowej, w oparciu o </w:t>
            </w:r>
            <w:proofErr w:type="spellStart"/>
            <w:r w:rsidRPr="00106A70">
              <w:t>DiffServ</w:t>
            </w:r>
            <w:proofErr w:type="spellEnd"/>
            <w:r w:rsidRPr="00106A70">
              <w:t xml:space="preserve">, IP </w:t>
            </w:r>
            <w:proofErr w:type="spellStart"/>
            <w:r w:rsidRPr="00106A70">
              <w:t>ToS</w:t>
            </w:r>
            <w:proofErr w:type="spellEnd"/>
            <w:r w:rsidRPr="00106A70">
              <w:t xml:space="preserve"> oraz IP </w:t>
            </w:r>
            <w:proofErr w:type="spellStart"/>
            <w:r w:rsidRPr="00106A70">
              <w:t>Precedence</w:t>
            </w:r>
            <w:proofErr w:type="spellEnd"/>
            <w:r w:rsidRPr="00106A70">
              <w:t>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obsługa protokołu 802.11e, w tym WMM oraz U-APSD,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szybki i bezpieczny </w:t>
            </w:r>
            <w:proofErr w:type="spellStart"/>
            <w:r w:rsidRPr="00106A70">
              <w:t>roaming</w:t>
            </w:r>
            <w:proofErr w:type="spellEnd"/>
            <w:r w:rsidRPr="00106A70">
              <w:t xml:space="preserve"> oraz </w:t>
            </w:r>
            <w:proofErr w:type="spellStart"/>
            <w:r w:rsidRPr="00106A70">
              <w:t>handover</w:t>
            </w:r>
            <w:proofErr w:type="spellEnd"/>
            <w:r w:rsidRPr="00106A70">
              <w:t xml:space="preserve"> (wstępne uwierzytelnienie, OKC),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obsługa min 16 SSID (min 8 na częstotliwość radiową)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obsługa minimum 316 użytkowników jednocześnie,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RADIUS </w:t>
            </w:r>
            <w:proofErr w:type="spellStart"/>
            <w:r w:rsidRPr="00106A70">
              <w:t>Authentication</w:t>
            </w:r>
            <w:proofErr w:type="spellEnd"/>
            <w:r w:rsidRPr="00106A70">
              <w:t xml:space="preserve"> &amp; Accounting,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płynny </w:t>
            </w:r>
            <w:proofErr w:type="spellStart"/>
            <w:r w:rsidRPr="00106A70">
              <w:t>roaming</w:t>
            </w:r>
            <w:proofErr w:type="spellEnd"/>
            <w:r w:rsidRPr="00106A70">
              <w:t xml:space="preserve"> pomiędzy wieloma kontrolerami,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wsparcie dla protokołu IEEE 802.1p </w:t>
            </w:r>
            <w:proofErr w:type="spellStart"/>
            <w:r w:rsidRPr="00106A70">
              <w:t>prioritization</w:t>
            </w:r>
            <w:proofErr w:type="spellEnd"/>
            <w:r w:rsidRPr="00106A70">
              <w:t>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lastRenderedPageBreak/>
              <w:t>możliwość wykonania minimum 12 jednoczesnych połączeń VoIP w ramach protokołu IEEE 802.11 a/b/g/n,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wsparcie dla protokołu: IEEE 802.1X z wykorzystaniem metod: EAP-SIM, EAPFAST, EAP-TLS, EAP-TTLS, and PEAP,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wsparcie dla protokołu: MAC </w:t>
            </w:r>
            <w:proofErr w:type="spellStart"/>
            <w:r w:rsidRPr="00106A70">
              <w:t>address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authentication</w:t>
            </w:r>
            <w:proofErr w:type="spellEnd"/>
            <w:r w:rsidRPr="00106A70">
              <w:t xml:space="preserve"> przy wykorzystaniu lokalnych </w:t>
            </w:r>
            <w:proofErr w:type="spellStart"/>
            <w:r w:rsidRPr="00106A70">
              <w:t>access</w:t>
            </w:r>
            <w:proofErr w:type="spellEnd"/>
            <w:r w:rsidRPr="00106A70">
              <w:t>-list lub przesyłanych z serwera RADIUS,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mechanizmy: RADIUS AAA, przy wykorzystaniu EAP-MD5, PAP, CHAP oraz MS-CHAPv2,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RADIUS Client,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mechanizm izolacji klientów na poziomie L2,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mechanizmy IEEE 802.11i, WPA2 oraz WPA, przy zastosowaniu algorytmów </w:t>
            </w:r>
            <w:proofErr w:type="spellStart"/>
            <w:r w:rsidRPr="00106A70">
              <w:t>szyfracji</w:t>
            </w:r>
            <w:proofErr w:type="spellEnd"/>
            <w:r w:rsidRPr="00106A70">
              <w:t xml:space="preserve">: Advanced </w:t>
            </w:r>
            <w:proofErr w:type="spellStart"/>
            <w:r w:rsidRPr="00106A70">
              <w:t>Encryption</w:t>
            </w:r>
            <w:proofErr w:type="spellEnd"/>
            <w:r w:rsidRPr="00106A70">
              <w:t xml:space="preserve"> Standard (AES) oraz </w:t>
            </w:r>
            <w:proofErr w:type="spellStart"/>
            <w:r w:rsidRPr="00106A70">
              <w:t>Temporal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Key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Integrity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Protocol</w:t>
            </w:r>
            <w:proofErr w:type="spellEnd"/>
            <w:r w:rsidRPr="00106A70">
              <w:t xml:space="preserve"> (TKIP),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obsługa technologii 802.11ac pracująca w konfiguracji 3x3 MIMO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punkt dostępowy musi posiadać certyfikat 802.11ac </w:t>
            </w:r>
            <w:proofErr w:type="spellStart"/>
            <w:r w:rsidRPr="00106A70">
              <w:t>WiFi</w:t>
            </w:r>
            <w:proofErr w:type="spellEnd"/>
            <w:r w:rsidRPr="00106A70">
              <w:t xml:space="preserve"> gwarantujący kompatybilność w sieciach WLAN,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musi mieć możliwość zapewnienia równego czasu antenowego (</w:t>
            </w:r>
            <w:proofErr w:type="spellStart"/>
            <w:r w:rsidRPr="00106A70">
              <w:t>Airtime</w:t>
            </w:r>
            <w:proofErr w:type="spellEnd"/>
            <w:r w:rsidRPr="00106A70">
              <w:t>) dla wszystkich klientów w środowiskach, w których wspólnie występują technologie 802.11a/b/g, 802.11n oraz 802.11ac</w:t>
            </w:r>
          </w:p>
          <w:p w:rsidR="00C35196" w:rsidRPr="00106A70" w:rsidRDefault="00C35196" w:rsidP="00FC1373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musi mieć możliwość skonfigurowania wbudowanych portów 10/100/1000Base-T dla redundancji zasilania i transferu danych w trybie </w:t>
            </w:r>
            <w:proofErr w:type="spellStart"/>
            <w:r w:rsidRPr="00106A70">
              <w:t>active</w:t>
            </w:r>
            <w:proofErr w:type="spellEnd"/>
            <w:r w:rsidRPr="00106A70">
              <w:t>/</w:t>
            </w:r>
            <w:proofErr w:type="spellStart"/>
            <w:r w:rsidRPr="00106A70">
              <w:t>passive</w:t>
            </w:r>
            <w:proofErr w:type="spellEnd"/>
            <w:r w:rsidRPr="00106A70">
              <w:t xml:space="preserve"> oraz </w:t>
            </w:r>
            <w:proofErr w:type="spellStart"/>
            <w:r w:rsidRPr="00106A70">
              <w:t>active</w:t>
            </w:r>
            <w:proofErr w:type="spellEnd"/>
            <w:r w:rsidRPr="00106A70">
              <w:t>/</w:t>
            </w:r>
            <w:proofErr w:type="spellStart"/>
            <w:r w:rsidRPr="00106A70">
              <w:t>active</w:t>
            </w:r>
            <w:proofErr w:type="spellEnd"/>
            <w:r w:rsidRPr="00106A70">
              <w:t xml:space="preserve"> (LAG)</w:t>
            </w:r>
          </w:p>
        </w:tc>
        <w:tc>
          <w:tcPr>
            <w:tcW w:w="2016" w:type="pct"/>
          </w:tcPr>
          <w:p w:rsidR="00C35196" w:rsidRPr="00106A70" w:rsidRDefault="00C35196" w:rsidP="001F538A"/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Anteny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7225E0">
            <w:pPr>
              <w:pStyle w:val="Akapitzlist"/>
              <w:numPr>
                <w:ilvl w:val="0"/>
                <w:numId w:val="4"/>
              </w:numPr>
            </w:pPr>
            <w:r w:rsidRPr="00106A70">
              <w:t>min. 6 anten wewnętrznych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Tryby pracy</w:t>
            </w:r>
          </w:p>
        </w:tc>
        <w:tc>
          <w:tcPr>
            <w:tcW w:w="1996" w:type="pct"/>
            <w:gridSpan w:val="3"/>
          </w:tcPr>
          <w:p w:rsidR="00C35196" w:rsidRPr="00A61CB6" w:rsidRDefault="00C35196" w:rsidP="00250430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61CB6">
              <w:rPr>
                <w:lang w:val="en-US"/>
              </w:rPr>
              <w:t>tryb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działania</w:t>
            </w:r>
            <w:proofErr w:type="spellEnd"/>
            <w:r w:rsidRPr="00A61CB6">
              <w:rPr>
                <w:lang w:val="en-US"/>
              </w:rPr>
              <w:t xml:space="preserve"> radio WLAN: Client access, Local mesh, Packet capture, WDS</w:t>
            </w:r>
          </w:p>
          <w:p w:rsidR="00C35196" w:rsidRPr="00106A70" w:rsidRDefault="00C35196" w:rsidP="00250430">
            <w:pPr>
              <w:pStyle w:val="Akapitzlist"/>
              <w:numPr>
                <w:ilvl w:val="0"/>
                <w:numId w:val="4"/>
              </w:numPr>
            </w:pPr>
            <w:r w:rsidRPr="00106A70">
              <w:t>obsługa technologii 802.11ac i praca w technice transmisji wieloantenowej MIMO 3x3 przy zasilaniu przez jedno źródło zgodne ze standardem IEEE 802.3af, bez wpływu na działanie kluczowych funkcji i wydajność,</w:t>
            </w:r>
          </w:p>
          <w:p w:rsidR="00C35196" w:rsidRPr="00106A70" w:rsidRDefault="00C35196" w:rsidP="00250430">
            <w:pPr>
              <w:pStyle w:val="Akapitzlist"/>
              <w:widowControl w:val="0"/>
              <w:numPr>
                <w:ilvl w:val="0"/>
                <w:numId w:val="4"/>
              </w:numPr>
              <w:spacing w:before="13" w:line="244" w:lineRule="auto"/>
              <w:ind w:right="230"/>
              <w:rPr>
                <w:rFonts w:eastAsia="Times New Roman" w:cs="Times New Roman"/>
              </w:rPr>
            </w:pPr>
            <w:r w:rsidRPr="00106A70">
              <w:rPr>
                <w:rFonts w:eastAsia="Times New Roman" w:cs="Times New Roman"/>
              </w:rPr>
              <w:t>w</w:t>
            </w:r>
            <w:r w:rsidRPr="00106A70">
              <w:rPr>
                <w:rFonts w:eastAsia="Times New Roman" w:cs="Times New Roman"/>
                <w:spacing w:val="1"/>
              </w:rPr>
              <w:t>s</w:t>
            </w:r>
            <w:r w:rsidRPr="00106A70">
              <w:rPr>
                <w:rFonts w:eastAsia="Times New Roman" w:cs="Times New Roman"/>
              </w:rPr>
              <w:t>p</w:t>
            </w:r>
            <w:r w:rsidRPr="00106A70">
              <w:rPr>
                <w:rFonts w:eastAsia="Times New Roman" w:cs="Times New Roman"/>
                <w:spacing w:val="-2"/>
              </w:rPr>
              <w:t>a</w:t>
            </w:r>
            <w:r w:rsidRPr="00106A70">
              <w:rPr>
                <w:rFonts w:eastAsia="Times New Roman" w:cs="Times New Roman"/>
                <w:spacing w:val="1"/>
              </w:rPr>
              <w:t>r</w:t>
            </w:r>
            <w:r w:rsidRPr="00106A70">
              <w:rPr>
                <w:rFonts w:eastAsia="Times New Roman" w:cs="Times New Roman"/>
                <w:spacing w:val="-2"/>
              </w:rPr>
              <w:t>c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</w:rPr>
              <w:t>e d</w:t>
            </w:r>
            <w:r w:rsidRPr="00106A70">
              <w:rPr>
                <w:rFonts w:eastAsia="Times New Roman" w:cs="Times New Roman"/>
                <w:spacing w:val="-1"/>
              </w:rPr>
              <w:t>l</w:t>
            </w:r>
            <w:r w:rsidRPr="00106A70">
              <w:rPr>
                <w:rFonts w:eastAsia="Times New Roman" w:cs="Times New Roman"/>
              </w:rPr>
              <w:t xml:space="preserve">a </w:t>
            </w:r>
            <w:r w:rsidRPr="00106A70">
              <w:rPr>
                <w:rFonts w:eastAsia="Times New Roman" w:cs="Times New Roman"/>
                <w:spacing w:val="-4"/>
              </w:rPr>
              <w:t>m</w:t>
            </w:r>
            <w:r w:rsidRPr="00106A70">
              <w:rPr>
                <w:rFonts w:eastAsia="Times New Roman" w:cs="Times New Roman"/>
              </w:rPr>
              <w:t>echan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  <w:spacing w:val="-2"/>
              </w:rPr>
              <w:t>z</w:t>
            </w:r>
            <w:r w:rsidRPr="00106A70">
              <w:rPr>
                <w:rFonts w:eastAsia="Times New Roman" w:cs="Times New Roman"/>
                <w:spacing w:val="-1"/>
              </w:rPr>
              <w:t>m</w:t>
            </w:r>
            <w:r w:rsidRPr="00106A70">
              <w:rPr>
                <w:rFonts w:eastAsia="Times New Roman" w:cs="Times New Roman"/>
              </w:rPr>
              <w:t xml:space="preserve">u </w:t>
            </w:r>
            <w:r w:rsidRPr="00106A70">
              <w:rPr>
                <w:rFonts w:eastAsia="Times New Roman" w:cs="Times New Roman"/>
                <w:spacing w:val="-4"/>
              </w:rPr>
              <w:t>m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</w:rPr>
              <w:t>n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  <w:spacing w:val="-4"/>
              </w:rPr>
              <w:t>m</w:t>
            </w:r>
            <w:r w:rsidRPr="00106A70">
              <w:rPr>
                <w:rFonts w:eastAsia="Times New Roman" w:cs="Times New Roman"/>
                <w:spacing w:val="2"/>
              </w:rPr>
              <w:t>u</w:t>
            </w:r>
            <w:r w:rsidRPr="00106A70">
              <w:rPr>
                <w:rFonts w:eastAsia="Times New Roman" w:cs="Times New Roman"/>
              </w:rPr>
              <w:t>m „</w:t>
            </w:r>
            <w:r w:rsidRPr="00106A70">
              <w:rPr>
                <w:rFonts w:eastAsia="Times New Roman" w:cs="Times New Roman"/>
                <w:spacing w:val="2"/>
              </w:rPr>
              <w:t>T</w:t>
            </w:r>
            <w:r w:rsidRPr="00106A70">
              <w:rPr>
                <w:rFonts w:eastAsia="Times New Roman" w:cs="Times New Roman"/>
                <w:spacing w:val="-1"/>
              </w:rPr>
              <w:t>hree</w:t>
            </w:r>
            <w:r w:rsidRPr="00106A70">
              <w:rPr>
                <w:rFonts w:eastAsia="Times New Roman" w:cs="Times New Roman"/>
              </w:rPr>
              <w:t xml:space="preserve"> </w:t>
            </w:r>
            <w:proofErr w:type="spellStart"/>
            <w:r w:rsidRPr="00106A70">
              <w:rPr>
                <w:rFonts w:eastAsia="Times New Roman" w:cs="Times New Roman"/>
                <w:spacing w:val="1"/>
              </w:rPr>
              <w:t>s</w:t>
            </w:r>
            <w:r w:rsidRPr="00106A70">
              <w:rPr>
                <w:rFonts w:eastAsia="Times New Roman" w:cs="Times New Roman"/>
              </w:rPr>
              <w:t>p</w:t>
            </w:r>
            <w:r w:rsidRPr="00106A70">
              <w:rPr>
                <w:rFonts w:eastAsia="Times New Roman" w:cs="Times New Roman"/>
                <w:spacing w:val="-2"/>
              </w:rPr>
              <w:t>a</w:t>
            </w:r>
            <w:r w:rsidRPr="00106A70">
              <w:rPr>
                <w:rFonts w:eastAsia="Times New Roman" w:cs="Times New Roman"/>
                <w:spacing w:val="1"/>
              </w:rPr>
              <w:t>t</w:t>
            </w:r>
            <w:r w:rsidRPr="00106A70">
              <w:rPr>
                <w:rFonts w:eastAsia="Times New Roman" w:cs="Times New Roman"/>
                <w:spacing w:val="-1"/>
              </w:rPr>
              <w:t>i</w:t>
            </w:r>
            <w:r w:rsidRPr="00106A70">
              <w:rPr>
                <w:rFonts w:eastAsia="Times New Roman" w:cs="Times New Roman"/>
                <w:spacing w:val="-2"/>
              </w:rPr>
              <w:t>a</w:t>
            </w:r>
            <w:r w:rsidRPr="00106A70">
              <w:rPr>
                <w:rFonts w:eastAsia="Times New Roman" w:cs="Times New Roman"/>
              </w:rPr>
              <w:t>l</w:t>
            </w:r>
            <w:proofErr w:type="spellEnd"/>
            <w:r w:rsidRPr="00106A70">
              <w:rPr>
                <w:rFonts w:eastAsia="Times New Roman" w:cs="Times New Roman"/>
              </w:rPr>
              <w:t xml:space="preserve"> </w:t>
            </w:r>
            <w:proofErr w:type="spellStart"/>
            <w:r w:rsidRPr="00106A70">
              <w:rPr>
                <w:rFonts w:eastAsia="Times New Roman" w:cs="Times New Roman"/>
                <w:spacing w:val="1"/>
              </w:rPr>
              <w:t>s</w:t>
            </w:r>
            <w:r w:rsidRPr="00106A70">
              <w:rPr>
                <w:rFonts w:eastAsia="Times New Roman" w:cs="Times New Roman"/>
                <w:spacing w:val="-1"/>
              </w:rPr>
              <w:t>t</w:t>
            </w:r>
            <w:r w:rsidRPr="00106A70">
              <w:rPr>
                <w:rFonts w:eastAsia="Times New Roman" w:cs="Times New Roman"/>
                <w:spacing w:val="1"/>
              </w:rPr>
              <w:t>r</w:t>
            </w:r>
            <w:r w:rsidRPr="00106A70">
              <w:rPr>
                <w:rFonts w:eastAsia="Times New Roman" w:cs="Times New Roman"/>
              </w:rPr>
              <w:t>eam</w:t>
            </w:r>
            <w:proofErr w:type="spellEnd"/>
            <w:r w:rsidRPr="00106A70">
              <w:rPr>
                <w:rFonts w:eastAsia="Times New Roman" w:cs="Times New Roman"/>
              </w:rPr>
              <w:t xml:space="preserve"> </w:t>
            </w:r>
            <w:r w:rsidRPr="00106A70">
              <w:rPr>
                <w:rFonts w:eastAsia="Times New Roman" w:cs="Times New Roman"/>
                <w:spacing w:val="1"/>
              </w:rPr>
              <w:t>M</w:t>
            </w:r>
            <w:r w:rsidRPr="00106A70">
              <w:rPr>
                <w:rFonts w:eastAsia="Times New Roman" w:cs="Times New Roman"/>
                <w:spacing w:val="-4"/>
              </w:rPr>
              <w:t>I</w:t>
            </w:r>
            <w:r w:rsidRPr="00106A70">
              <w:rPr>
                <w:rFonts w:eastAsia="Times New Roman" w:cs="Times New Roman"/>
                <w:spacing w:val="1"/>
              </w:rPr>
              <w:t>M</w:t>
            </w:r>
            <w:r w:rsidRPr="00106A70">
              <w:rPr>
                <w:rFonts w:eastAsia="Times New Roman" w:cs="Times New Roman"/>
                <w:spacing w:val="-1"/>
              </w:rPr>
              <w:t>O</w:t>
            </w:r>
            <w:r w:rsidRPr="00106A70">
              <w:rPr>
                <w:rFonts w:eastAsia="Times New Roman" w:cs="Times New Roman"/>
              </w:rPr>
              <w:t>” d</w:t>
            </w:r>
            <w:r w:rsidRPr="00106A70">
              <w:rPr>
                <w:rFonts w:eastAsia="Times New Roman" w:cs="Times New Roman"/>
                <w:spacing w:val="1"/>
              </w:rPr>
              <w:t>l</w:t>
            </w:r>
            <w:r w:rsidRPr="00106A70">
              <w:rPr>
                <w:rFonts w:eastAsia="Times New Roman" w:cs="Times New Roman"/>
              </w:rPr>
              <w:t xml:space="preserve">a </w:t>
            </w:r>
            <w:r w:rsidRPr="00106A70">
              <w:rPr>
                <w:rFonts w:eastAsia="Times New Roman" w:cs="Times New Roman"/>
                <w:spacing w:val="-1"/>
              </w:rPr>
              <w:t>w</w:t>
            </w:r>
            <w:r w:rsidRPr="00106A70">
              <w:rPr>
                <w:rFonts w:eastAsia="Times New Roman" w:cs="Times New Roman"/>
                <w:spacing w:val="1"/>
              </w:rPr>
              <w:t>s</w:t>
            </w:r>
            <w:r w:rsidRPr="00106A70">
              <w:rPr>
                <w:rFonts w:eastAsia="Times New Roman" w:cs="Times New Roman"/>
                <w:spacing w:val="-2"/>
              </w:rPr>
              <w:t>zy</w:t>
            </w:r>
            <w:r w:rsidRPr="00106A70">
              <w:rPr>
                <w:rFonts w:eastAsia="Times New Roman" w:cs="Times New Roman"/>
                <w:spacing w:val="1"/>
              </w:rPr>
              <w:t>st</w:t>
            </w:r>
            <w:r w:rsidRPr="00106A70">
              <w:rPr>
                <w:rFonts w:eastAsia="Times New Roman" w:cs="Times New Roman"/>
                <w:spacing w:val="-2"/>
              </w:rPr>
              <w:t>k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</w:rPr>
              <w:t>ch nad</w:t>
            </w:r>
            <w:r w:rsidRPr="00106A70">
              <w:rPr>
                <w:rFonts w:eastAsia="Times New Roman" w:cs="Times New Roman"/>
                <w:spacing w:val="-2"/>
              </w:rPr>
              <w:t>a</w:t>
            </w:r>
            <w:r w:rsidRPr="00106A70">
              <w:rPr>
                <w:rFonts w:eastAsia="Times New Roman" w:cs="Times New Roman"/>
                <w:spacing w:val="3"/>
              </w:rPr>
              <w:t>j</w:t>
            </w:r>
            <w:r w:rsidRPr="00106A70">
              <w:rPr>
                <w:rFonts w:eastAsia="Times New Roman" w:cs="Times New Roman"/>
                <w:spacing w:val="-2"/>
              </w:rPr>
              <w:t>n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  <w:spacing w:val="-2"/>
              </w:rPr>
              <w:t>k</w:t>
            </w:r>
            <w:r w:rsidRPr="00106A70">
              <w:rPr>
                <w:rFonts w:eastAsia="Times New Roman" w:cs="Times New Roman"/>
              </w:rPr>
              <w:t>ów</w:t>
            </w:r>
          </w:p>
          <w:p w:rsidR="00C35196" w:rsidRPr="00106A70" w:rsidRDefault="00C35196" w:rsidP="00250430">
            <w:pPr>
              <w:pStyle w:val="Akapitzlist"/>
              <w:numPr>
                <w:ilvl w:val="0"/>
                <w:numId w:val="4"/>
              </w:numPr>
            </w:pPr>
            <w:r w:rsidRPr="00106A70">
              <w:t xml:space="preserve">instalacja typu plug &amp; </w:t>
            </w:r>
            <w:proofErr w:type="spellStart"/>
            <w:r w:rsidRPr="00106A70">
              <w:t>play</w:t>
            </w:r>
            <w:proofErr w:type="spellEnd"/>
          </w:p>
          <w:p w:rsidR="00C35196" w:rsidRPr="00106A70" w:rsidRDefault="00C35196" w:rsidP="00250430">
            <w:pPr>
              <w:pStyle w:val="Akapitzlist"/>
              <w:numPr>
                <w:ilvl w:val="0"/>
                <w:numId w:val="4"/>
              </w:numPr>
            </w:pPr>
            <w:r w:rsidRPr="00106A70">
              <w:t xml:space="preserve">jednoczesna obsługa ruchu tunelowanego i </w:t>
            </w:r>
            <w:proofErr w:type="spellStart"/>
            <w:r w:rsidRPr="00106A70">
              <w:t>mostowanego</w:t>
            </w:r>
            <w:proofErr w:type="spellEnd"/>
            <w:r w:rsidRPr="00106A70">
              <w:t>,</w:t>
            </w:r>
          </w:p>
          <w:p w:rsidR="00C35196" w:rsidRPr="00106A70" w:rsidRDefault="00C35196" w:rsidP="00250430">
            <w:pPr>
              <w:pStyle w:val="Akapitzlist"/>
              <w:numPr>
                <w:ilvl w:val="0"/>
                <w:numId w:val="4"/>
              </w:numPr>
            </w:pPr>
            <w:r w:rsidRPr="00106A70">
              <w:lastRenderedPageBreak/>
              <w:t>W przypadku awarii punktu dostępowego, sąsiednie punkty dostępowe muszą rozszerzyć swój zasięg by wyeliminować niepokryte obszary, nawet w sytuacji, gdy punkt dostępowy nie może uzyskać dostępu do kontrolera. Wybór optymalnego kanału musi także być rekonfigurowany dynamicznie i bez interwencji użytkownika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Funkcje zarządzania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 xml:space="preserve">punkt dostępowy musi zapewniać rozproszone zarządzanie łącznością radiową RF (Radio </w:t>
            </w:r>
            <w:proofErr w:type="spellStart"/>
            <w:r w:rsidRPr="00106A70">
              <w:t>Frequency</w:t>
            </w:r>
            <w:proofErr w:type="spellEnd"/>
            <w:r w:rsidRPr="00106A70">
              <w:t xml:space="preserve">) Management niezależne od kontrolera - poza tylko wstępną konfiguracją. Po utracie połączenia z kontrolerem, punkt dostępowy musi być zdolny do zapewnienia ciągłości operacji związanych z szyfrowaniem, tworzeniem czarnych list, filtrowaniem, </w:t>
            </w:r>
            <w:proofErr w:type="spellStart"/>
            <w:r w:rsidRPr="00106A70">
              <w:t>QoS</w:t>
            </w:r>
            <w:proofErr w:type="spellEnd"/>
            <w:r w:rsidRPr="00106A70">
              <w:t xml:space="preserve"> oraz zarządzaniem łącznością radiową, zarówno dla swoich potrzeb, jak i lokalnie </w:t>
            </w:r>
            <w:proofErr w:type="spellStart"/>
            <w:r w:rsidRPr="00106A70">
              <w:t>mostowanego</w:t>
            </w:r>
            <w:proofErr w:type="spellEnd"/>
            <w:r w:rsidRPr="00106A70">
              <w:t xml:space="preserve"> ruchu.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możliwość konfiguracji zapewniającej równoważenie obciążenia i sterowanie pasmem w celu pozwolenia punktom dostępowym na równoważenie/sterowanie ruchem klientów pomiędzy obiema częstotliwościami na jednym punkcie dostępowym i/lub pomiędzy wieloma punktami dostępowymi w ramach domeny łączności radiowej,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punkty dostępowe muszą mieć możliwość wdrożenia konfiguracji kratowej, tworzącej bezprzewodowe, wzajemne połączenia pomiędzy poszczególnymi punktami dostępowymi,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możliwość stworzenia i jednoczesnego uruchomienia minimum 16 profili sieci bezprzewodowych WLAN,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każdy profil wirtualny sieci bezprzewodowej powinien posiadać możliwość przypisania do sieci VLAN,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Bezpieczeństwo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połączenie pomiędzy AP, a kontrolerem musi być szyfrowane przy pomocy technologii AES minimum 128 bit,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punkty dostępowe muszą obsługiwać suplikanta 802.1x, by chronić swoje połączenia przewodowe przed nieautoryzowanym dostępem innych urządzeń,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obsługa standardów uwierzytelniania i szyfrowania, w tym: WEP, WPA (TKIP), WPA2 (AES), 802.11i, 802.1x,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 xml:space="preserve">punkt dostępowy musi wspierać szyfrowanie, tworzenie czarnych list, filtrowanie oraz </w:t>
            </w:r>
            <w:proofErr w:type="spellStart"/>
            <w:r w:rsidRPr="00106A70">
              <w:t>QoS</w:t>
            </w:r>
            <w:proofErr w:type="spellEnd"/>
            <w:r w:rsidRPr="00106A70">
              <w:t>, niezależnie od kontrolera,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lastRenderedPageBreak/>
              <w:t xml:space="preserve">możliwość pracy w architekturze bezpieczeństwa opartej na rolach, zapewniając ciągłe zarządzanie tożsamością wraz z opartymi na rolach funkcjami uwierzytelniania, autoryzacji, </w:t>
            </w:r>
            <w:proofErr w:type="spellStart"/>
            <w:r w:rsidRPr="00106A70">
              <w:t>QoS</w:t>
            </w:r>
            <w:proofErr w:type="spellEnd"/>
            <w:r w:rsidRPr="00106A70">
              <w:t xml:space="preserve"> i ograniczania pasma, aplikowane względem użytkownika i aplikacji,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funkcje egzekwowania przypisanych ról i ograniczania przepustowości muszą być osiągalne na poziomie punktu dostępowego,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przypisywanie ról klientom musi odbywać się bez konieczności segmentacji przez dedykowane SSID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Dodatkowe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oprogramowanie działające na punktach dostępowych powinno umożliwiać oddzielną specyfikację częstotliwości dla każdego z modułów radia,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wraz z punktem dostępowym należy dostarczyć uchwyt umożliwiający montaż punktu dostępowego pod sufitem, pochodzący od tego samego producenta co dostarczane urządzenia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wraz z punktami dostępowymi zamawiający wymaga dostarczenia odpowiedniej ilości licencji do posiadanego kontrolera sieci WLAN Extreme Networks V2110 w celu rejestracji dostarczonych punktów dostępowych na kontrolerze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Gwarancja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gwarancja producenta obejmująca wysy</w:t>
            </w:r>
            <w:r w:rsidR="00A61CB6">
              <w:t xml:space="preserve">łkę następnego dnia roboczego, </w:t>
            </w:r>
            <w:r w:rsidRPr="00106A70">
              <w:t>wsparcia technicznego przez email, telefon w wymiarze 8x5, na okres nie krótszy niż 1 rok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862F9B" w:rsidTr="00B8269D">
        <w:trPr>
          <w:trHeight w:val="381"/>
        </w:trPr>
        <w:tc>
          <w:tcPr>
            <w:tcW w:w="265" w:type="pct"/>
            <w:shd w:val="clear" w:color="auto" w:fill="D9D9D9" w:themeFill="background1" w:themeFillShade="D9"/>
          </w:tcPr>
          <w:p w:rsidR="00862F9B" w:rsidRPr="00106A70" w:rsidRDefault="00B8269D" w:rsidP="00B8269D">
            <w:pPr>
              <w:jc w:val="center"/>
            </w:pPr>
            <w:r>
              <w:t>II</w:t>
            </w:r>
          </w:p>
        </w:tc>
        <w:tc>
          <w:tcPr>
            <w:tcW w:w="4735" w:type="pct"/>
            <w:gridSpan w:val="5"/>
            <w:shd w:val="clear" w:color="auto" w:fill="D9D9D9" w:themeFill="background1" w:themeFillShade="D9"/>
          </w:tcPr>
          <w:p w:rsidR="00862F9B" w:rsidRPr="00B8269D" w:rsidRDefault="00B8269D" w:rsidP="00B8269D">
            <w:pPr>
              <w:pStyle w:val="Akapitzlist"/>
              <w:ind w:left="-63"/>
              <w:rPr>
                <w:b/>
              </w:rPr>
            </w:pPr>
            <w:r>
              <w:rPr>
                <w:b/>
              </w:rPr>
              <w:t>SWITCH – 1 SZTUKA</w:t>
            </w:r>
          </w:p>
        </w:tc>
      </w:tr>
      <w:tr w:rsidR="00862F9B" w:rsidRPr="004830E4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Porty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1"/>
              </w:numPr>
            </w:pPr>
            <w:r w:rsidRPr="004830E4">
              <w:t xml:space="preserve">24 porty </w:t>
            </w:r>
            <w:proofErr w:type="spellStart"/>
            <w:r w:rsidRPr="004830E4">
              <w:t>ethernet</w:t>
            </w:r>
            <w:proofErr w:type="spellEnd"/>
            <w:r w:rsidRPr="004830E4">
              <w:t xml:space="preserve"> 10/100/1000 </w:t>
            </w:r>
            <w:proofErr w:type="spellStart"/>
            <w:r w:rsidRPr="004830E4">
              <w:t>Mbps</w:t>
            </w:r>
            <w:proofErr w:type="spellEnd"/>
            <w:r>
              <w:t xml:space="preserve"> </w:t>
            </w:r>
            <w:proofErr w:type="spellStart"/>
            <w:r>
              <w:t>PoE</w:t>
            </w:r>
            <w:proofErr w:type="spellEnd"/>
            <w:r>
              <w:t>+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1"/>
              </w:numPr>
            </w:pPr>
            <w:r w:rsidRPr="004830E4">
              <w:t xml:space="preserve">4 </w:t>
            </w:r>
            <w:proofErr w:type="spellStart"/>
            <w:r w:rsidRPr="004830E4">
              <w:t>sloty</w:t>
            </w:r>
            <w:proofErr w:type="spellEnd"/>
            <w:r w:rsidRPr="004830E4">
              <w:t xml:space="preserve"> </w:t>
            </w:r>
            <w:proofErr w:type="spellStart"/>
            <w:r w:rsidRPr="004830E4">
              <w:t>GbE</w:t>
            </w:r>
            <w:proofErr w:type="spellEnd"/>
            <w:r w:rsidRPr="004830E4">
              <w:t xml:space="preserve"> SFP</w:t>
            </w:r>
            <w:r>
              <w:t xml:space="preserve">, kompatybilne z posiadanymi modułami GBIC HP </w:t>
            </w:r>
            <w:proofErr w:type="spellStart"/>
            <w:r>
              <w:t>ProCurve</w:t>
            </w:r>
            <w:proofErr w:type="spellEnd"/>
            <w:r>
              <w:t xml:space="preserve"> Gigabit-LX-LC Mini-</w:t>
            </w:r>
            <w:proofErr w:type="spellStart"/>
            <w:r>
              <w:t>Gbic</w:t>
            </w:r>
            <w:proofErr w:type="spellEnd"/>
            <w:r>
              <w:t xml:space="preserve"> J4859C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1"/>
              </w:numPr>
            </w:pPr>
            <w:r w:rsidRPr="004830E4">
              <w:t xml:space="preserve">port konsoli </w:t>
            </w:r>
            <w:r>
              <w:t>szeregowej</w:t>
            </w:r>
            <w:r w:rsidRPr="004830E4">
              <w:t xml:space="preserve"> wykonany na złączu RJ-45</w:t>
            </w:r>
            <w:r>
              <w:t xml:space="preserve"> i micro USB</w:t>
            </w:r>
          </w:p>
        </w:tc>
        <w:tc>
          <w:tcPr>
            <w:tcW w:w="2016" w:type="pct"/>
          </w:tcPr>
          <w:p w:rsidR="00862F9B" w:rsidRPr="004830E4" w:rsidRDefault="00862F9B" w:rsidP="00B8269D">
            <w:pPr>
              <w:pStyle w:val="Akapitzlist"/>
              <w:ind w:left="360"/>
            </w:pPr>
          </w:p>
        </w:tc>
      </w:tr>
      <w:tr w:rsidR="00862F9B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Procesor i pamięć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>
              <w:t>procesor nie wolniejszy niż 800 MHz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>
              <w:t>minimum 128 MB pamięci Flash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>
              <w:t>minimum 256 MB pamięci DDR3 DIMM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 w:rsidRPr="0014374C">
              <w:t xml:space="preserve">pojemność bufora pakietów: </w:t>
            </w:r>
            <w:r>
              <w:t>minimum 1,5</w:t>
            </w:r>
            <w:r w:rsidRPr="0014374C">
              <w:t xml:space="preserve"> MB dynamicznie alokowanej pamięci</w:t>
            </w:r>
          </w:p>
        </w:tc>
        <w:tc>
          <w:tcPr>
            <w:tcW w:w="2016" w:type="pct"/>
          </w:tcPr>
          <w:p w:rsidR="00862F9B" w:rsidRDefault="00862F9B" w:rsidP="00B8269D">
            <w:pPr>
              <w:pStyle w:val="Akapitzlist"/>
              <w:ind w:left="360"/>
            </w:pPr>
          </w:p>
        </w:tc>
      </w:tr>
      <w:tr w:rsidR="00862F9B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Montaż i obudowa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>
              <w:t>obudowa w standardzie EIA 19” z uchwytami do montażu w szafie telekomunikacyjnej RACK 19”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>
              <w:t>wysokość 1U</w:t>
            </w:r>
          </w:p>
        </w:tc>
        <w:tc>
          <w:tcPr>
            <w:tcW w:w="2016" w:type="pct"/>
          </w:tcPr>
          <w:p w:rsidR="00862F9B" w:rsidRDefault="00862F9B" w:rsidP="00B8269D">
            <w:pPr>
              <w:pStyle w:val="Akapitzlist"/>
              <w:ind w:left="360"/>
            </w:pPr>
          </w:p>
        </w:tc>
      </w:tr>
      <w:tr w:rsidR="00862F9B" w:rsidRPr="00566C9F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Wydajność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 w:rsidRPr="00566C9F">
              <w:t xml:space="preserve">pojemność przełączania minimum </w:t>
            </w:r>
            <w:r>
              <w:t>56</w:t>
            </w:r>
            <w:r w:rsidRPr="00566C9F">
              <w:t xml:space="preserve"> </w:t>
            </w:r>
            <w:proofErr w:type="spellStart"/>
            <w:r w:rsidRPr="00566C9F">
              <w:t>Gb</w:t>
            </w:r>
            <w:proofErr w:type="spellEnd"/>
            <w:r w:rsidRPr="00566C9F">
              <w:t>/s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 w:rsidRPr="00566C9F">
              <w:t>pojemność tablicy MAC</w:t>
            </w:r>
            <w:r>
              <w:t xml:space="preserve"> minimum</w:t>
            </w:r>
            <w:r w:rsidRPr="00566C9F">
              <w:t xml:space="preserve"> 16000 adresów</w:t>
            </w:r>
          </w:p>
        </w:tc>
        <w:tc>
          <w:tcPr>
            <w:tcW w:w="2016" w:type="pct"/>
          </w:tcPr>
          <w:p w:rsidR="00862F9B" w:rsidRPr="00566C9F" w:rsidRDefault="00862F9B" w:rsidP="00B8269D">
            <w:pPr>
              <w:pStyle w:val="Akapitzlist"/>
              <w:ind w:left="360"/>
            </w:pPr>
          </w:p>
        </w:tc>
      </w:tr>
      <w:tr w:rsidR="00862F9B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Parametry elektryczne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3"/>
              </w:numPr>
            </w:pPr>
            <w:r>
              <w:t>urządzenie przystosowane do zasilania z sieci energetycznej w Polsce (230V/50Hz)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3"/>
              </w:numPr>
            </w:pPr>
            <w:r>
              <w:t xml:space="preserve">obsługa standardu </w:t>
            </w:r>
            <w:r w:rsidRPr="00D34FD8">
              <w:t>IEEE 802.3at</w:t>
            </w:r>
            <w:r>
              <w:t xml:space="preserve"> </w:t>
            </w:r>
            <w:proofErr w:type="spellStart"/>
            <w:r>
              <w:t>PoE</w:t>
            </w:r>
            <w:proofErr w:type="spellEnd"/>
            <w:r>
              <w:t>+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3"/>
              </w:numPr>
            </w:pPr>
            <w:r w:rsidRPr="00BC2A63">
              <w:t xml:space="preserve">moc </w:t>
            </w:r>
            <w:proofErr w:type="spellStart"/>
            <w:r w:rsidRPr="00BC2A63">
              <w:t>PoE</w:t>
            </w:r>
            <w:proofErr w:type="spellEnd"/>
            <w:r w:rsidRPr="00BC2A63">
              <w:t xml:space="preserve"> nie mniejsza niż 195 W</w:t>
            </w:r>
          </w:p>
        </w:tc>
        <w:tc>
          <w:tcPr>
            <w:tcW w:w="2016" w:type="pct"/>
          </w:tcPr>
          <w:p w:rsidR="00862F9B" w:rsidRDefault="00862F9B" w:rsidP="00B8269D">
            <w:pPr>
              <w:pStyle w:val="Akapitzlist"/>
              <w:ind w:left="360"/>
            </w:pPr>
          </w:p>
        </w:tc>
      </w:tr>
      <w:tr w:rsidR="00862F9B" w:rsidRPr="002E346F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Zarządzanie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 w:rsidRPr="002E346F">
              <w:t>zarządzanie</w:t>
            </w:r>
            <w:r>
              <w:t xml:space="preserve"> urządzeniem</w:t>
            </w:r>
            <w:r w:rsidRPr="002E346F">
              <w:t xml:space="preserve"> poprzez http, </w:t>
            </w:r>
            <w:proofErr w:type="spellStart"/>
            <w:r w:rsidRPr="002E346F">
              <w:t>https</w:t>
            </w:r>
            <w:proofErr w:type="spellEnd"/>
            <w:r w:rsidRPr="002E346F">
              <w:t xml:space="preserve">, </w:t>
            </w:r>
            <w:proofErr w:type="spellStart"/>
            <w:r w:rsidRPr="002E346F">
              <w:t>ssh</w:t>
            </w:r>
            <w:proofErr w:type="spellEnd"/>
            <w:r w:rsidRPr="002E346F">
              <w:t xml:space="preserve">, telnet, </w:t>
            </w:r>
            <w:r>
              <w:t>port konsoli szeregowej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ograniczenia zarządzania urządzeniem to konkretnych adresów IP oraz całych klas adresowych</w:t>
            </w:r>
          </w:p>
        </w:tc>
        <w:tc>
          <w:tcPr>
            <w:tcW w:w="2016" w:type="pct"/>
          </w:tcPr>
          <w:p w:rsidR="00862F9B" w:rsidRPr="002E346F" w:rsidRDefault="00862F9B" w:rsidP="00B8269D">
            <w:pPr>
              <w:pStyle w:val="Akapitzlist"/>
              <w:ind w:left="360"/>
            </w:pPr>
          </w:p>
        </w:tc>
      </w:tr>
      <w:tr w:rsidR="00862F9B" w:rsidRPr="000724D0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Dodatkowe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 w:rsidRPr="000724D0">
              <w:t xml:space="preserve">w pełni </w:t>
            </w:r>
            <w:proofErr w:type="spellStart"/>
            <w:r w:rsidRPr="000724D0">
              <w:t>zarządzalny</w:t>
            </w:r>
            <w:proofErr w:type="spellEnd"/>
            <w:r w:rsidRPr="000724D0">
              <w:t xml:space="preserve"> przełącznik warstwy 2</w:t>
            </w:r>
          </w:p>
          <w:p w:rsidR="00862F9B" w:rsidRPr="00A61CB6" w:rsidRDefault="00862F9B" w:rsidP="003624C4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QoS</w:t>
            </w:r>
            <w:proofErr w:type="spellEnd"/>
            <w:r w:rsidRPr="00A61CB6">
              <w:rPr>
                <w:lang w:val="en-US"/>
              </w:rPr>
              <w:t xml:space="preserve">, </w:t>
            </w:r>
            <w:proofErr w:type="spellStart"/>
            <w:r w:rsidRPr="00A61CB6">
              <w:rPr>
                <w:lang w:val="en-US"/>
              </w:rPr>
              <w:t>CoS</w:t>
            </w:r>
            <w:proofErr w:type="spellEnd"/>
            <w:r w:rsidRPr="00A61CB6">
              <w:rPr>
                <w:lang w:val="en-US"/>
              </w:rPr>
              <w:t xml:space="preserve">, virtual stacking, </w:t>
            </w:r>
            <w:proofErr w:type="spellStart"/>
            <w:r w:rsidRPr="00A61CB6">
              <w:rPr>
                <w:lang w:val="en-US"/>
              </w:rPr>
              <w:t>sFlow</w:t>
            </w:r>
            <w:proofErr w:type="spellEnd"/>
            <w:r w:rsidRPr="00A61CB6">
              <w:rPr>
                <w:lang w:val="en-US"/>
              </w:rPr>
              <w:t xml:space="preserve">, LLDP, port mirroring, dual flash images, </w:t>
            </w: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wielu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plików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konfiguracyjnych</w:t>
            </w:r>
            <w:proofErr w:type="spellEnd"/>
            <w:r w:rsidRPr="00A61CB6">
              <w:rPr>
                <w:lang w:val="en-US"/>
              </w:rPr>
              <w:t xml:space="preserve">, ACL, RADIUS/TACACS+, SSL, port security, MAC address lockout, SSH, custom banner, SFTP, TFTP, DHCP protection, dynamic ARP protection, dynamic IP lockdown, IP multicast, port </w:t>
            </w:r>
            <w:proofErr w:type="spellStart"/>
            <w:r w:rsidRPr="00A61CB6">
              <w:rPr>
                <w:lang w:val="en-US"/>
              </w:rPr>
              <w:t>trunking</w:t>
            </w:r>
            <w:proofErr w:type="spellEnd"/>
            <w:r w:rsidRPr="00A61CB6">
              <w:rPr>
                <w:lang w:val="en-US"/>
              </w:rPr>
              <w:t>, IEEE 802.3ad LACP, IEEE 802.1s MST, Auto-MDIX, loop-protect</w:t>
            </w:r>
          </w:p>
          <w:p w:rsidR="00862F9B" w:rsidRPr="00A61CB6" w:rsidRDefault="00862F9B" w:rsidP="003624C4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512 VLAN, GARP VLAN Registration Protocol, RPVST+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obsługa IEEE 802.1x, w tym do 32 użytkowników na port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obsługa logów lokalnych jak i na zdalnym serwerze </w:t>
            </w:r>
            <w:proofErr w:type="spellStart"/>
            <w:r>
              <w:t>syslog</w:t>
            </w:r>
            <w:proofErr w:type="spellEnd"/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obsługa SNMP v1/v2c/v3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nadawania nazw poszczególnym portom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możliwość nadawania nazw poszczególnym </w:t>
            </w:r>
            <w:proofErr w:type="spellStart"/>
            <w:r>
              <w:t>VLANom</w:t>
            </w:r>
            <w:proofErr w:type="spellEnd"/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synchronizacja czasu z serwerami NTP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ustawienia restartu urządzenia w zadanym terminie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zapisania aktualnej konfiguracji w postaci tekstowej w wewnętrznej pamięci nieulotnej oraz na urządzeniach zewnętrznych przy pomocy protokołu TFTP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modyfikowania konfiguracji poza urządzeniem i ponownego jej wczytania do urządzenia przy pomocy protokołu TFTP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lastRenderedPageBreak/>
              <w:t xml:space="preserve">możliwość ustawiania limitów pakietów akceptowanych na wskazanych portach w jednostce czasu (tzw. </w:t>
            </w:r>
            <w:proofErr w:type="spellStart"/>
            <w:r>
              <w:t>rate</w:t>
            </w:r>
            <w:proofErr w:type="spellEnd"/>
            <w:r>
              <w:t>-limit); przełącznik odrzuca pakiety przekraczające limit; możliwość ustawiania limitów pakietów indywidualnie dla każdego interfejsu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ustawiania maksymalnej prędkości portu w standardzie 10/100/1000BASE-T</w:t>
            </w:r>
          </w:p>
          <w:p w:rsidR="00862F9B" w:rsidRPr="00B34E20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współpraca z oprogramowaniem do zautomatyzowanego wykonywania kopii zapasowych konfiguracji - RANCID http://www.shrubbery.net/rancid</w:t>
            </w:r>
          </w:p>
        </w:tc>
        <w:tc>
          <w:tcPr>
            <w:tcW w:w="2016" w:type="pct"/>
          </w:tcPr>
          <w:p w:rsidR="00862F9B" w:rsidRPr="000724D0" w:rsidRDefault="00862F9B" w:rsidP="00B8269D">
            <w:pPr>
              <w:pStyle w:val="Akapitzlist"/>
              <w:ind w:left="360"/>
            </w:pPr>
          </w:p>
        </w:tc>
      </w:tr>
      <w:tr w:rsidR="00862F9B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Gwarancja i wsparcie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dożywotnia </w:t>
            </w:r>
            <w:r w:rsidRPr="00B34E20">
              <w:t>gwarancja producenta obejmująca wysyłkę następnego dnia rob</w:t>
            </w:r>
            <w:r>
              <w:t>oczego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nowe wersje </w:t>
            </w:r>
            <w:proofErr w:type="spellStart"/>
            <w:r>
              <w:t>firmware</w:t>
            </w:r>
            <w:proofErr w:type="spellEnd"/>
            <w:r>
              <w:t xml:space="preserve"> muszą być ogólnodostępne lub zamawiający musi mieć zapewniony dostęp do nowych wersji oprogramowania przez co najmniej 5 lat od podpisania protokołu odbioru</w:t>
            </w:r>
          </w:p>
          <w:p w:rsidR="00862F9B" w:rsidRPr="000E6208" w:rsidRDefault="00862F9B" w:rsidP="003624C4">
            <w:pPr>
              <w:pStyle w:val="Akapitzlist"/>
              <w:numPr>
                <w:ilvl w:val="0"/>
                <w:numId w:val="4"/>
              </w:numPr>
            </w:pPr>
            <w:r w:rsidRPr="007603B0">
              <w:t>wsparcie techniczne telefoniczne i elektroniczne</w:t>
            </w:r>
          </w:p>
        </w:tc>
        <w:tc>
          <w:tcPr>
            <w:tcW w:w="2016" w:type="pct"/>
          </w:tcPr>
          <w:p w:rsidR="00862F9B" w:rsidRDefault="00862F9B" w:rsidP="00B8269D">
            <w:pPr>
              <w:pStyle w:val="Akapitzlist"/>
              <w:ind w:left="360"/>
            </w:pPr>
          </w:p>
        </w:tc>
      </w:tr>
      <w:tr w:rsidR="00862F9B" w:rsidTr="00B8269D">
        <w:trPr>
          <w:trHeight w:val="442"/>
        </w:trPr>
        <w:tc>
          <w:tcPr>
            <w:tcW w:w="265" w:type="pct"/>
            <w:shd w:val="clear" w:color="auto" w:fill="D9D9D9" w:themeFill="background1" w:themeFillShade="D9"/>
          </w:tcPr>
          <w:p w:rsidR="00862F9B" w:rsidRPr="00B8269D" w:rsidRDefault="00B8269D" w:rsidP="00B8269D">
            <w:pPr>
              <w:jc w:val="center"/>
              <w:rPr>
                <w:b/>
              </w:rPr>
            </w:pPr>
            <w:r w:rsidRPr="00B8269D">
              <w:rPr>
                <w:b/>
              </w:rPr>
              <w:t>III</w:t>
            </w:r>
          </w:p>
        </w:tc>
        <w:tc>
          <w:tcPr>
            <w:tcW w:w="4735" w:type="pct"/>
            <w:gridSpan w:val="5"/>
            <w:shd w:val="clear" w:color="auto" w:fill="D9D9D9" w:themeFill="background1" w:themeFillShade="D9"/>
          </w:tcPr>
          <w:p w:rsidR="00862F9B" w:rsidRPr="00B8269D" w:rsidRDefault="00B8269D" w:rsidP="00B8269D">
            <w:pPr>
              <w:pStyle w:val="Akapitzlist"/>
              <w:ind w:left="-109"/>
              <w:rPr>
                <w:b/>
              </w:rPr>
            </w:pPr>
            <w:r>
              <w:rPr>
                <w:b/>
              </w:rPr>
              <w:t>SWITCH – 1 SZTUKA</w:t>
            </w:r>
          </w:p>
        </w:tc>
      </w:tr>
      <w:tr w:rsidR="00B8269D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Porty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1"/>
              </w:numPr>
            </w:pPr>
            <w:r>
              <w:t>48</w:t>
            </w:r>
            <w:r w:rsidRPr="004830E4">
              <w:t xml:space="preserve"> port</w:t>
            </w:r>
            <w:r>
              <w:t>ów</w:t>
            </w:r>
            <w:r w:rsidRPr="004830E4">
              <w:t xml:space="preserve"> </w:t>
            </w:r>
            <w:proofErr w:type="spellStart"/>
            <w:r w:rsidRPr="004830E4">
              <w:t>ethernet</w:t>
            </w:r>
            <w:proofErr w:type="spellEnd"/>
            <w:r w:rsidRPr="004830E4">
              <w:t xml:space="preserve"> 10/100/1000 </w:t>
            </w:r>
            <w:proofErr w:type="spellStart"/>
            <w:r w:rsidRPr="004830E4">
              <w:t>Mbps</w:t>
            </w:r>
            <w:proofErr w:type="spellEnd"/>
          </w:p>
          <w:p w:rsidR="00B8269D" w:rsidRDefault="00B8269D" w:rsidP="003624C4">
            <w:pPr>
              <w:pStyle w:val="Akapitzlist"/>
              <w:numPr>
                <w:ilvl w:val="0"/>
                <w:numId w:val="1"/>
              </w:numPr>
            </w:pPr>
            <w:r w:rsidRPr="004830E4">
              <w:t xml:space="preserve">4 </w:t>
            </w:r>
            <w:proofErr w:type="spellStart"/>
            <w:r w:rsidRPr="004830E4">
              <w:t>sloty</w:t>
            </w:r>
            <w:proofErr w:type="spellEnd"/>
            <w:r w:rsidRPr="004830E4">
              <w:t xml:space="preserve"> </w:t>
            </w:r>
            <w:proofErr w:type="spellStart"/>
            <w:r w:rsidRPr="004830E4">
              <w:t>GbE</w:t>
            </w:r>
            <w:proofErr w:type="spellEnd"/>
            <w:r w:rsidRPr="004830E4">
              <w:t xml:space="preserve"> SFP</w:t>
            </w:r>
            <w:r>
              <w:t xml:space="preserve">, kompatybilne z posiadanymi modułami GBIC HP </w:t>
            </w:r>
            <w:proofErr w:type="spellStart"/>
            <w:r>
              <w:t>ProCurve</w:t>
            </w:r>
            <w:proofErr w:type="spellEnd"/>
            <w:r>
              <w:t xml:space="preserve"> Gigabit-LX-LC Mini-</w:t>
            </w:r>
            <w:proofErr w:type="spellStart"/>
            <w:r>
              <w:t>Gbic</w:t>
            </w:r>
            <w:proofErr w:type="spellEnd"/>
            <w:r>
              <w:t xml:space="preserve"> J4859C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1"/>
              </w:numPr>
            </w:pPr>
            <w:r w:rsidRPr="004830E4">
              <w:t xml:space="preserve">port konsoli </w:t>
            </w:r>
            <w:r>
              <w:t>szeregowej</w:t>
            </w:r>
            <w:r w:rsidRPr="004830E4">
              <w:t xml:space="preserve"> wykonany na złączu RJ-45</w:t>
            </w:r>
            <w:r>
              <w:t xml:space="preserve"> i micro USB</w:t>
            </w:r>
          </w:p>
        </w:tc>
        <w:tc>
          <w:tcPr>
            <w:tcW w:w="2022" w:type="pct"/>
            <w:gridSpan w:val="2"/>
          </w:tcPr>
          <w:p w:rsidR="00B8269D" w:rsidRDefault="00B8269D" w:rsidP="00B8269D">
            <w:pPr>
              <w:pStyle w:val="Akapitzlist"/>
              <w:ind w:left="360"/>
            </w:pPr>
          </w:p>
        </w:tc>
      </w:tr>
      <w:tr w:rsidR="00B8269D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Procesor i pamięć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>
              <w:t>procesor nie wolniejszy niż 800 MHz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>
              <w:t>minimum 128 MB pamięci Flash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>
              <w:t>minimum 256 MB pamięci DDR3 DIMM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 w:rsidRPr="0014374C">
              <w:t xml:space="preserve">pojemność bufora pakietów: </w:t>
            </w:r>
            <w:r>
              <w:t>minimum 3</w:t>
            </w:r>
            <w:r w:rsidRPr="0014374C">
              <w:t xml:space="preserve"> MB dynamicznie alokowanej pamięci</w:t>
            </w:r>
          </w:p>
        </w:tc>
        <w:tc>
          <w:tcPr>
            <w:tcW w:w="2022" w:type="pct"/>
            <w:gridSpan w:val="2"/>
          </w:tcPr>
          <w:p w:rsidR="00B8269D" w:rsidRDefault="00B8269D" w:rsidP="00B8269D">
            <w:pPr>
              <w:pStyle w:val="Akapitzlist"/>
              <w:ind w:left="360"/>
            </w:pPr>
          </w:p>
        </w:tc>
      </w:tr>
      <w:tr w:rsidR="00B8269D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Montaż i obudowa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>
              <w:t>obudowa w standardzie EIA 19” z uchwytami do montażu w szafie telekomunikacyjnej RACK 19”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>
              <w:t>wysokość 1U</w:t>
            </w:r>
          </w:p>
        </w:tc>
        <w:tc>
          <w:tcPr>
            <w:tcW w:w="2022" w:type="pct"/>
            <w:gridSpan w:val="2"/>
          </w:tcPr>
          <w:p w:rsidR="00B8269D" w:rsidRDefault="00B8269D" w:rsidP="00B8269D">
            <w:pPr>
              <w:pStyle w:val="Akapitzlist"/>
              <w:ind w:left="360"/>
            </w:pPr>
          </w:p>
        </w:tc>
      </w:tr>
      <w:tr w:rsidR="00B8269D" w:rsidRPr="00566C9F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Wydajność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 w:rsidRPr="00566C9F">
              <w:t xml:space="preserve">pojemność przełączania minimum </w:t>
            </w:r>
            <w:r>
              <w:t>104</w:t>
            </w:r>
            <w:r w:rsidRPr="00566C9F">
              <w:t xml:space="preserve"> </w:t>
            </w:r>
            <w:proofErr w:type="spellStart"/>
            <w:r w:rsidRPr="00566C9F">
              <w:t>Gb</w:t>
            </w:r>
            <w:proofErr w:type="spellEnd"/>
            <w:r w:rsidRPr="00566C9F">
              <w:t>/s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 w:rsidRPr="00566C9F">
              <w:t xml:space="preserve">pojemność tablicy MAC </w:t>
            </w:r>
            <w:r>
              <w:t xml:space="preserve">minimum </w:t>
            </w:r>
            <w:r w:rsidRPr="00566C9F">
              <w:t>16000 adresów</w:t>
            </w:r>
          </w:p>
        </w:tc>
        <w:tc>
          <w:tcPr>
            <w:tcW w:w="2022" w:type="pct"/>
            <w:gridSpan w:val="2"/>
          </w:tcPr>
          <w:p w:rsidR="00B8269D" w:rsidRPr="00566C9F" w:rsidRDefault="00B8269D" w:rsidP="00B8269D">
            <w:pPr>
              <w:pStyle w:val="Akapitzlist"/>
              <w:ind w:left="360"/>
            </w:pPr>
          </w:p>
        </w:tc>
      </w:tr>
      <w:tr w:rsidR="00B8269D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Parametry elektryczne</w:t>
            </w:r>
          </w:p>
        </w:tc>
        <w:tc>
          <w:tcPr>
            <w:tcW w:w="1977" w:type="pct"/>
          </w:tcPr>
          <w:p w:rsidR="00B8269D" w:rsidRPr="002E346F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urządzenie przystosowane do zasilania z sieci energetycznej w Polsce (230V/50Hz)</w:t>
            </w:r>
          </w:p>
        </w:tc>
        <w:tc>
          <w:tcPr>
            <w:tcW w:w="2022" w:type="pct"/>
            <w:gridSpan w:val="2"/>
          </w:tcPr>
          <w:p w:rsidR="00B8269D" w:rsidRDefault="00B8269D" w:rsidP="00B8269D">
            <w:pPr>
              <w:pStyle w:val="Akapitzlist"/>
              <w:ind w:left="360"/>
            </w:pPr>
          </w:p>
        </w:tc>
      </w:tr>
      <w:tr w:rsidR="00B8269D" w:rsidRPr="002E346F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Zarządzanie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 w:rsidRPr="002E346F">
              <w:t>zarządzanie</w:t>
            </w:r>
            <w:r>
              <w:t xml:space="preserve"> urządzeniem</w:t>
            </w:r>
            <w:r w:rsidRPr="002E346F">
              <w:t xml:space="preserve"> poprzez http, </w:t>
            </w:r>
            <w:proofErr w:type="spellStart"/>
            <w:r w:rsidRPr="002E346F">
              <w:t>https</w:t>
            </w:r>
            <w:proofErr w:type="spellEnd"/>
            <w:r w:rsidRPr="002E346F">
              <w:t xml:space="preserve">, </w:t>
            </w:r>
            <w:proofErr w:type="spellStart"/>
            <w:r w:rsidRPr="002E346F">
              <w:t>ssh</w:t>
            </w:r>
            <w:proofErr w:type="spellEnd"/>
            <w:r w:rsidRPr="002E346F">
              <w:t xml:space="preserve">, telnet, </w:t>
            </w:r>
            <w:r>
              <w:t>port konsoli szeregowej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ograniczenia zarządzania urządzeniem do konkretnych adresów IP oraz całych klas adresowych</w:t>
            </w:r>
          </w:p>
        </w:tc>
        <w:tc>
          <w:tcPr>
            <w:tcW w:w="2022" w:type="pct"/>
            <w:gridSpan w:val="2"/>
          </w:tcPr>
          <w:p w:rsidR="00B8269D" w:rsidRPr="002E346F" w:rsidRDefault="00B8269D" w:rsidP="00B8269D">
            <w:pPr>
              <w:pStyle w:val="Akapitzlist"/>
              <w:ind w:left="360"/>
            </w:pPr>
          </w:p>
        </w:tc>
      </w:tr>
      <w:tr w:rsidR="00B8269D" w:rsidRPr="000724D0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Dodatkowe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 w:rsidRPr="000724D0">
              <w:t xml:space="preserve">w pełni </w:t>
            </w:r>
            <w:proofErr w:type="spellStart"/>
            <w:r w:rsidRPr="000724D0">
              <w:t>zarządzalny</w:t>
            </w:r>
            <w:proofErr w:type="spellEnd"/>
            <w:r w:rsidRPr="000724D0">
              <w:t xml:space="preserve"> przełącznik warstwy 2</w:t>
            </w:r>
          </w:p>
          <w:p w:rsidR="00B8269D" w:rsidRPr="00A61CB6" w:rsidRDefault="00B8269D" w:rsidP="003624C4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QoS</w:t>
            </w:r>
            <w:proofErr w:type="spellEnd"/>
            <w:r w:rsidRPr="00A61CB6">
              <w:rPr>
                <w:lang w:val="en-US"/>
              </w:rPr>
              <w:t xml:space="preserve">, </w:t>
            </w:r>
            <w:proofErr w:type="spellStart"/>
            <w:r w:rsidRPr="00A61CB6">
              <w:rPr>
                <w:lang w:val="en-US"/>
              </w:rPr>
              <w:t>CoS</w:t>
            </w:r>
            <w:proofErr w:type="spellEnd"/>
            <w:r w:rsidRPr="00A61CB6">
              <w:rPr>
                <w:lang w:val="en-US"/>
              </w:rPr>
              <w:t xml:space="preserve">, virtual stacking, </w:t>
            </w:r>
            <w:proofErr w:type="spellStart"/>
            <w:r w:rsidRPr="00A61CB6">
              <w:rPr>
                <w:lang w:val="en-US"/>
              </w:rPr>
              <w:t>sFlow</w:t>
            </w:r>
            <w:proofErr w:type="spellEnd"/>
            <w:r w:rsidRPr="00A61CB6">
              <w:rPr>
                <w:lang w:val="en-US"/>
              </w:rPr>
              <w:t xml:space="preserve">, LLDP, port mirroring, dual flash images, </w:t>
            </w: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wielu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plików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konfiguracyjnych</w:t>
            </w:r>
            <w:proofErr w:type="spellEnd"/>
            <w:r w:rsidRPr="00A61CB6">
              <w:rPr>
                <w:lang w:val="en-US"/>
              </w:rPr>
              <w:t xml:space="preserve">, ACL, RADIUS/TACACS+, SSL, port security, MAC address lockout, SSH, custom banner, SFTP, TFTP, DHCP protection, dynamic ARP protection, dynamic IP lockdown, IP multicast, port </w:t>
            </w:r>
            <w:proofErr w:type="spellStart"/>
            <w:r w:rsidRPr="00A61CB6">
              <w:rPr>
                <w:lang w:val="en-US"/>
              </w:rPr>
              <w:t>trunking</w:t>
            </w:r>
            <w:proofErr w:type="spellEnd"/>
            <w:r w:rsidRPr="00A61CB6">
              <w:rPr>
                <w:lang w:val="en-US"/>
              </w:rPr>
              <w:t>, IEEE 802.3ad LACP, IEEE 802.1s MST, Auto-MDIX, loop-protect</w:t>
            </w:r>
          </w:p>
          <w:p w:rsidR="00B8269D" w:rsidRPr="00A61CB6" w:rsidRDefault="00B8269D" w:rsidP="003624C4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512 VLAN, GARP VLAN Registration Protocol, RPVST+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obsługa IEEE 802.1x, w tym do 32 użytkowników na port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obsługa logów lokalnych jak i na zdalnym serwerze </w:t>
            </w:r>
            <w:proofErr w:type="spellStart"/>
            <w:r>
              <w:t>syslog</w:t>
            </w:r>
            <w:proofErr w:type="spellEnd"/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obsługa SNMP v1/v2c/v3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nadawania nazw poszczególnym portom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możliwość nadawania nazw poszczególnym </w:t>
            </w:r>
            <w:proofErr w:type="spellStart"/>
            <w:r>
              <w:t>VLANom</w:t>
            </w:r>
            <w:proofErr w:type="spellEnd"/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synchronizacja czasu z serwerami NTP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ustawienia restartu urządzenia w zadanym terminie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zapisania aktualnej konfiguracji w postaci tekstowej w wewnętrznej pamięci nieulotnej oraz na urządzeniach zewnętrznych przy pomocy protokołu TFTP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modyfikowania konfiguracji poza urządzeniem i ponownego jej wczytania do urządzenia przy pomocy protokołu TFTP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możliwość ustawiania limitów pakietów akceptowanych na wskazanych portach w jednostce czasu (tzw. </w:t>
            </w:r>
            <w:proofErr w:type="spellStart"/>
            <w:r>
              <w:t>rate</w:t>
            </w:r>
            <w:proofErr w:type="spellEnd"/>
            <w:r>
              <w:t>-limit); przełącznik odrzuca pakiety przekraczające limit; możliwość ustawiania limitów pakietów indywidualnie dla każdego interfejsu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ustawiania maksymalnej prędkości portu w standardzie 10/100/1000BASE-T</w:t>
            </w:r>
          </w:p>
          <w:p w:rsidR="00B8269D" w:rsidRPr="00B34E20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współpraca z oprogramowaniem do zautomatyzowanego wykonywania kopii zapasowych konfiguracji - RANCID </w:t>
            </w:r>
            <w:r>
              <w:lastRenderedPageBreak/>
              <w:t>http://www.shrubbery.net/rancid</w:t>
            </w:r>
          </w:p>
        </w:tc>
        <w:tc>
          <w:tcPr>
            <w:tcW w:w="2022" w:type="pct"/>
            <w:gridSpan w:val="2"/>
          </w:tcPr>
          <w:p w:rsidR="00B8269D" w:rsidRPr="000724D0" w:rsidRDefault="00B8269D" w:rsidP="00B8269D">
            <w:pPr>
              <w:pStyle w:val="Akapitzlist"/>
              <w:ind w:left="360"/>
            </w:pPr>
          </w:p>
        </w:tc>
      </w:tr>
      <w:tr w:rsidR="00B8269D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Gwarancja i wsparcie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dożywotnia </w:t>
            </w:r>
            <w:r w:rsidRPr="00B34E20">
              <w:t>gwarancja producenta obejmująca wysyłkę następnego dnia rob</w:t>
            </w:r>
            <w:r>
              <w:t>oczego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nowe wersje </w:t>
            </w:r>
            <w:proofErr w:type="spellStart"/>
            <w:r>
              <w:t>firmware</w:t>
            </w:r>
            <w:proofErr w:type="spellEnd"/>
            <w:r>
              <w:t xml:space="preserve"> muszą być ogólnodostępne lub zamawiający musi mieć zapewniony dostęp do nowych wersji oprogramowania przez co najmniej 5 lat od podpisania protokołu odbioru</w:t>
            </w:r>
          </w:p>
          <w:p w:rsidR="00B8269D" w:rsidRPr="000E6208" w:rsidRDefault="00B8269D" w:rsidP="003624C4">
            <w:pPr>
              <w:pStyle w:val="Akapitzlist"/>
              <w:numPr>
                <w:ilvl w:val="0"/>
                <w:numId w:val="4"/>
              </w:numPr>
            </w:pPr>
            <w:r w:rsidRPr="007603B0">
              <w:t>wsparcie techniczne telefoniczne i elektroniczne</w:t>
            </w:r>
          </w:p>
        </w:tc>
        <w:tc>
          <w:tcPr>
            <w:tcW w:w="2022" w:type="pct"/>
            <w:gridSpan w:val="2"/>
          </w:tcPr>
          <w:p w:rsidR="00B8269D" w:rsidRDefault="00B8269D" w:rsidP="00B8269D">
            <w:pPr>
              <w:pStyle w:val="Akapitzlist"/>
              <w:ind w:left="360"/>
            </w:pPr>
          </w:p>
        </w:tc>
      </w:tr>
    </w:tbl>
    <w:p w:rsidR="00482BA1" w:rsidRDefault="00482BA1"/>
    <w:p w:rsidR="00B8269D" w:rsidRDefault="00B8269D">
      <w:bookmarkStart w:id="0" w:name="_GoBack"/>
      <w:bookmarkEnd w:id="0"/>
    </w:p>
    <w:sectPr w:rsidR="00B8269D" w:rsidSect="00C35196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94" w:rsidRDefault="00516C94" w:rsidP="005D59F3">
      <w:pPr>
        <w:spacing w:after="0" w:line="240" w:lineRule="auto"/>
      </w:pPr>
      <w:r>
        <w:separator/>
      </w:r>
    </w:p>
  </w:endnote>
  <w:endnote w:type="continuationSeparator" w:id="0">
    <w:p w:rsidR="00516C94" w:rsidRDefault="00516C94" w:rsidP="005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94" w:rsidRDefault="00516C94" w:rsidP="005D59F3">
      <w:pPr>
        <w:spacing w:after="0" w:line="240" w:lineRule="auto"/>
      </w:pPr>
      <w:r>
        <w:separator/>
      </w:r>
    </w:p>
  </w:footnote>
  <w:footnote w:type="continuationSeparator" w:id="0">
    <w:p w:rsidR="00516C94" w:rsidRDefault="00516C94" w:rsidP="005D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9F3" w:rsidRDefault="001354BA" w:rsidP="001354BA">
    <w:pPr>
      <w:pStyle w:val="Nagwek"/>
      <w:jc w:val="right"/>
    </w:pPr>
    <w:r>
      <w:t>Załącznik nr IIIA do SIWZ – Zadanie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84E"/>
    <w:multiLevelType w:val="hybridMultilevel"/>
    <w:tmpl w:val="D95A03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A7DAB"/>
    <w:multiLevelType w:val="hybridMultilevel"/>
    <w:tmpl w:val="BF280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91741"/>
    <w:multiLevelType w:val="hybridMultilevel"/>
    <w:tmpl w:val="9EEEB4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062CD"/>
    <w:multiLevelType w:val="hybridMultilevel"/>
    <w:tmpl w:val="D12C2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91235"/>
    <w:multiLevelType w:val="hybridMultilevel"/>
    <w:tmpl w:val="04360EE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4FD30D83"/>
    <w:multiLevelType w:val="hybridMultilevel"/>
    <w:tmpl w:val="1A82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7552B"/>
    <w:multiLevelType w:val="hybridMultilevel"/>
    <w:tmpl w:val="39F865F8"/>
    <w:lvl w:ilvl="0" w:tplc="E2F6A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55DFD"/>
    <w:multiLevelType w:val="hybridMultilevel"/>
    <w:tmpl w:val="DBBC50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413CC4"/>
    <w:multiLevelType w:val="hybridMultilevel"/>
    <w:tmpl w:val="F2FE84B4"/>
    <w:lvl w:ilvl="0" w:tplc="CFB8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16E"/>
    <w:rsid w:val="00021DB5"/>
    <w:rsid w:val="000A5C9F"/>
    <w:rsid w:val="000E6208"/>
    <w:rsid w:val="000F316E"/>
    <w:rsid w:val="00106A70"/>
    <w:rsid w:val="0012146C"/>
    <w:rsid w:val="001354BA"/>
    <w:rsid w:val="001B480C"/>
    <w:rsid w:val="001C5BD9"/>
    <w:rsid w:val="001F409B"/>
    <w:rsid w:val="001F538A"/>
    <w:rsid w:val="00230D2B"/>
    <w:rsid w:val="00246402"/>
    <w:rsid w:val="00250430"/>
    <w:rsid w:val="00320471"/>
    <w:rsid w:val="003D6992"/>
    <w:rsid w:val="00401D08"/>
    <w:rsid w:val="00427151"/>
    <w:rsid w:val="00482BA1"/>
    <w:rsid w:val="004E603B"/>
    <w:rsid w:val="00516C94"/>
    <w:rsid w:val="00560A27"/>
    <w:rsid w:val="005831C2"/>
    <w:rsid w:val="005D59F3"/>
    <w:rsid w:val="00650109"/>
    <w:rsid w:val="00670D7B"/>
    <w:rsid w:val="006A0F8E"/>
    <w:rsid w:val="006A79DA"/>
    <w:rsid w:val="006F5BFF"/>
    <w:rsid w:val="007225E0"/>
    <w:rsid w:val="00733348"/>
    <w:rsid w:val="007674A3"/>
    <w:rsid w:val="00774158"/>
    <w:rsid w:val="007B08BE"/>
    <w:rsid w:val="008174C1"/>
    <w:rsid w:val="00862F9B"/>
    <w:rsid w:val="008925A8"/>
    <w:rsid w:val="008C3C9E"/>
    <w:rsid w:val="008D69A9"/>
    <w:rsid w:val="009C5A2C"/>
    <w:rsid w:val="00A13940"/>
    <w:rsid w:val="00A3699D"/>
    <w:rsid w:val="00A61CB6"/>
    <w:rsid w:val="00AE1721"/>
    <w:rsid w:val="00AF1E16"/>
    <w:rsid w:val="00B26A8F"/>
    <w:rsid w:val="00B34E20"/>
    <w:rsid w:val="00B6326A"/>
    <w:rsid w:val="00B8269D"/>
    <w:rsid w:val="00B97FA7"/>
    <w:rsid w:val="00C35196"/>
    <w:rsid w:val="00C51EB4"/>
    <w:rsid w:val="00CA2BA3"/>
    <w:rsid w:val="00D40864"/>
    <w:rsid w:val="00D411E2"/>
    <w:rsid w:val="00D839EE"/>
    <w:rsid w:val="00E76B28"/>
    <w:rsid w:val="00E837E7"/>
    <w:rsid w:val="00E9490F"/>
    <w:rsid w:val="00EF763B"/>
    <w:rsid w:val="00F058AB"/>
    <w:rsid w:val="00F6740B"/>
    <w:rsid w:val="00F74DB4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3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9F3"/>
  </w:style>
  <w:style w:type="paragraph" w:styleId="Stopka">
    <w:name w:val="footer"/>
    <w:basedOn w:val="Normalny"/>
    <w:link w:val="StopkaZnak"/>
    <w:uiPriority w:val="99"/>
    <w:unhideWhenUsed/>
    <w:rsid w:val="005D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9F3"/>
  </w:style>
  <w:style w:type="character" w:styleId="Odwoaniedokomentarza">
    <w:name w:val="annotation reference"/>
    <w:basedOn w:val="Domylnaczcionkaakapitu"/>
    <w:uiPriority w:val="99"/>
    <w:semiHidden/>
    <w:unhideWhenUsed/>
    <w:rsid w:val="00B82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9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BBC-5765-4C15-92F9-AD2B14D0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1705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2017-08-28T06:07:00Z</dcterms:created>
  <dcterms:modified xsi:type="dcterms:W3CDTF">2017-09-01T08:22:00Z</dcterms:modified>
</cp:coreProperties>
</file>