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</w:t>
      </w: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8496B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D84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D849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82A686C" wp14:editId="4DF4B786">
          <wp:simplePos x="0" y="0"/>
          <wp:positionH relativeFrom="margin">
            <wp:posOffset>-405765</wp:posOffset>
          </wp:positionH>
          <wp:positionV relativeFrom="margin">
            <wp:posOffset>-3768839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D8496B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>
          <w:rPr>
            <w:rFonts w:ascii="Times New Roman" w:hAnsi="Times New Roman"/>
            <w:b/>
            <w:i/>
            <w:color w:val="0000FF"/>
            <w:sz w:val="24"/>
            <w:szCs w:val="24"/>
          </w:rPr>
          <w:t>Dostawa wyposażenia multimedialnego sali ćwiczeń do nauczania histologii dla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6B1D61">
      <w:rPr>
        <w:rFonts w:ascii="Times New Roman" w:hAnsi="Times New Roman"/>
        <w:b/>
        <w:color w:val="0000FF"/>
      </w:rPr>
      <w:t>3</w:t>
    </w:r>
    <w:r w:rsidR="00D8496B">
      <w:rPr>
        <w:rFonts w:ascii="Times New Roman" w:hAnsi="Times New Roman"/>
        <w:b/>
        <w:color w:val="0000FF"/>
      </w:rPr>
      <w:t>7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D849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8496B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B1D61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8496B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414F"/>
  <w15:docId w15:val="{23AC8477-4348-42C8-87AE-A7A2FF70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715B-38D2-43FD-A862-48C3891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mikroskopów dla 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wyposażenia multimedialnego sali ćwiczeń do nauczania histologii dla Pomorskiego Uniwersytetu Medycznego w Szczecinie</dc:title>
  <dc:creator>Paweł Kaszuba</dc:creator>
  <cp:lastModifiedBy>Anna Kloczkowska</cp:lastModifiedBy>
  <cp:revision>3</cp:revision>
  <cp:lastPrinted>2017-03-27T10:45:00Z</cp:lastPrinted>
  <dcterms:created xsi:type="dcterms:W3CDTF">2017-08-11T06:23:00Z</dcterms:created>
  <dcterms:modified xsi:type="dcterms:W3CDTF">2017-08-31T07:08:00Z</dcterms:modified>
</cp:coreProperties>
</file>