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Pr="00E536DD" w:rsidRDefault="00150C40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Pr="00E536DD" w:rsidRDefault="00557B46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 w:rsidRPr="00E536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6DD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Pr="00E536DD" w:rsidRDefault="005A5914" w:rsidP="00557B46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bCs/>
          <w:i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E536DD" w:rsidRDefault="00166C12" w:rsidP="00557B4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Świadczenie usług telekomunikacyjnych w ramach sieci telefonii </w:t>
          </w:r>
          <w:r w:rsidR="000E273F"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stacjonarnej</w:t>
          </w:r>
          <w:r w:rsidRPr="00E536DD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E536DD" w:rsidRDefault="00F00DA0" w:rsidP="00557B46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DZP-262-</w:t>
          </w:r>
          <w:r w:rsidR="00166C12"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6</w:t>
          </w:r>
          <w:r w:rsidR="000E273F"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1</w:t>
          </w:r>
          <w:r w:rsidRPr="00E536DD">
            <w:rPr>
              <w:rFonts w:ascii="Times New Roman" w:eastAsia="Calibri" w:hAnsi="Times New Roman" w:cs="Times New Roman"/>
              <w:b/>
              <w:sz w:val="24"/>
              <w:szCs w:val="24"/>
            </w:rPr>
            <w:t>/2016</w:t>
          </w:r>
        </w:p>
      </w:sdtContent>
    </w:sdt>
    <w:p w:rsidR="005A5914" w:rsidRPr="00E536DD" w:rsidRDefault="005A5914" w:rsidP="00557B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Wykaz Załączników do Części III SIWZ:</w:t>
      </w:r>
    </w:p>
    <w:p w:rsidR="005A5914" w:rsidRPr="00E536DD" w:rsidRDefault="005A5914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FE613B" w:rsidRPr="00E536DD">
        <w:rPr>
          <w:rFonts w:ascii="Times New Roman" w:eastAsia="Calibri" w:hAnsi="Times New Roman" w:cs="Times New Roman"/>
          <w:sz w:val="24"/>
          <w:szCs w:val="24"/>
        </w:rPr>
        <w:t>.1</w:t>
      </w:r>
      <w:r w:rsidRPr="00E536DD">
        <w:rPr>
          <w:rFonts w:ascii="Times New Roman" w:eastAsia="Calibri" w:hAnsi="Times New Roman" w:cs="Times New Roman"/>
          <w:sz w:val="24"/>
          <w:szCs w:val="24"/>
        </w:rPr>
        <w:t>:</w:t>
      </w:r>
      <w:r w:rsidRPr="00E536DD">
        <w:rPr>
          <w:rFonts w:ascii="Times New Roman" w:eastAsia="Calibri" w:hAnsi="Times New Roman" w:cs="Times New Roman"/>
          <w:sz w:val="24"/>
          <w:szCs w:val="24"/>
        </w:rPr>
        <w:tab/>
        <w:t>Szczegółowa oferta cenowa</w:t>
      </w:r>
      <w:r w:rsidR="00FE613B" w:rsidRPr="00E536DD">
        <w:rPr>
          <w:rFonts w:ascii="Times New Roman" w:eastAsia="Calibri" w:hAnsi="Times New Roman" w:cs="Times New Roman"/>
          <w:sz w:val="24"/>
          <w:szCs w:val="24"/>
        </w:rPr>
        <w:t xml:space="preserve"> – zadanie nr 1</w:t>
      </w:r>
      <w:r w:rsidRPr="00E536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E613B" w:rsidRPr="00E536DD" w:rsidRDefault="00FE613B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Załącznik nr III A.2:</w:t>
      </w:r>
      <w:r w:rsidRPr="00E536DD">
        <w:rPr>
          <w:rFonts w:ascii="Times New Roman" w:eastAsia="Calibri" w:hAnsi="Times New Roman" w:cs="Times New Roman"/>
          <w:sz w:val="24"/>
          <w:szCs w:val="24"/>
        </w:rPr>
        <w:tab/>
        <w:t>Szczegółowa oferta cenowa – zadanie nr 2.</w:t>
      </w:r>
    </w:p>
    <w:p w:rsidR="00F00DA0" w:rsidRPr="00E536DD" w:rsidRDefault="00F00DA0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DA0" w:rsidRPr="00E536DD" w:rsidRDefault="00F00DA0" w:rsidP="00557B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914" w:rsidRPr="00E536DD" w:rsidRDefault="005A5914" w:rsidP="00D054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E536DD" w:rsidRDefault="005A5914" w:rsidP="00557B46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E536DD" w:rsidRDefault="005A5914" w:rsidP="00557B46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Pr="00E536DD" w:rsidRDefault="005A5914" w:rsidP="00557B46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6DD">
        <w:rPr>
          <w:rFonts w:ascii="Times New Roman" w:eastAsia="Calibri" w:hAnsi="Times New Roman" w:cs="Times New Roman"/>
          <w:sz w:val="24"/>
          <w:szCs w:val="24"/>
        </w:rPr>
        <w:t>Wzór umowy.</w:t>
      </w:r>
    </w:p>
    <w:p w:rsidR="00E536DD" w:rsidRPr="00E536DD" w:rsidRDefault="00E536DD" w:rsidP="00E536D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świadczenie usług telekomunikacyjnych w zakresie telefonii stacjonarnej:</w:t>
      </w:r>
    </w:p>
    <w:p w:rsidR="00E536DD" w:rsidRPr="00E536DD" w:rsidRDefault="00E536DD" w:rsidP="00E536D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budynkach Pomorskiego Uniwersytetu Medycznego przy ulicy Rybacka 1, Unii Lubelskiej 1,  Powstańców Wlkp. 72, Broniewskiego 24, Dunikowskiego 4, Żołnierskiej 48 w Szczecinie  </w:t>
      </w: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1);</w:t>
      </w: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6DD" w:rsidRPr="00E536DD" w:rsidRDefault="00E536DD" w:rsidP="00E536DD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placówkach dydaktycznych Pomorskiego Uniwersytetu Medycznego przy ulicy Sokołowskiego 1 i Arkońskiej 4 w Szczecinie, w Barlinku ul. Sportowa 6, Dziwnowie ul. Matejki 10 </w:t>
      </w: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(zadanie nr 2);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NR 1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Budynki Pomorskiego Uniwersytetu Medycznego </w:t>
      </w:r>
      <w:r w:rsidR="0014500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Szczecinie </w:t>
      </w:r>
      <w:r w:rsidRPr="00E536D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 ul. Rybackiej 1, Unii Lubelskiej 1, Powstańców Wlkp. 72, Broniewskiego 24,  Dunikowskiego 4, Żołnierskiej 48.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Zakres zamówienia: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Zapewnienie stałego dostępu do publicznej sieci telefonicznej.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wyklucza stosowanie technologii VoIP, numerów dostępowych oraz świadczenia usług z wykorzystaniem prefiksu, itp. technologii alternatywnych.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Powstańców Wlkp. 72 oraz Rybackiej 1 jest obiektem zabytkowym. Wszelkie koszty dodatkowe związane z budową przyłącza radiowego należy uwzględnić w wycenie oferty poprzez dodanie ich w tabeli poz.12.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Sprzęt użyty przez Wykonawcę do zestawienia usług telekomunikacyjnych tj. urządzenia 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nadawczo-odbiorcze, anteny, modemy itp. musi posiadać niezbędne deklaracje zgodności dopuszczające do użytku na terenie Rzeczpospolitej Polskiej.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Bezpłatne połączenia do służb powołanych ustawowo do niesienia pomocy posiadających numery skrócone </w:t>
      </w:r>
      <w:proofErr w:type="spellStart"/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tj</w:t>
      </w:r>
      <w:proofErr w:type="spellEnd"/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: 112, 999, 998, 997, 994, 992, 993, 991, 986, 985, 984.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Blokada połączeń na 700 – 709 oraz 300 400 900 oraz inne numery z zaliczaniem w taryfach specjalnych.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Przerwa w łączności związana z przejściem na nowy system, może wystąpić jedynie w dni wolne od pracy oraz dni wolne od zajęć dydaktycznych i nie może trwać dłużej niż 24 godziny,</w:t>
      </w:r>
    </w:p>
    <w:p w:rsidR="00E536DD" w:rsidRPr="00E536DD" w:rsidRDefault="00E536DD" w:rsidP="00E536DD">
      <w:pPr>
        <w:numPr>
          <w:ilvl w:val="0"/>
          <w:numId w:val="18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umożliwi instalację urządzeń do teletransmisji (urządzeń HDSL, DSL, NT) w pomieszczeniach Zamawiającego nieodpłatnie.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kalkulacji kosztów  połączeń należy przyjąć następującą konfigurację linii, ilość połączeń oraz ich czas. 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Konfiguracja linii: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Rybackiej 1,  Szczecin uruchomionych minimalnie 30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Unii Lubelskiej 1,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Powstańców Wlkp. 72,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30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Broniewskiego 24,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Dunikowskiego 4,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1 łącze cyfrowe ISDN PRA z sygnalizacją DSS1 przy ulicy Żołnierskiej 48,  Szczecin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uruchomionych minimalnie 15 kanałów rozmównych;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Czas połączeń z podziałem na kierunki: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lokalne i strefowe 9102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międzystrefowe 3399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międzynarodowe 354 minut</w:t>
      </w:r>
    </w:p>
    <w:p w:rsidR="00E536DD" w:rsidRPr="00E536DD" w:rsidRDefault="00E536DD" w:rsidP="00E536D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połączenia do sieci komórkowych 12461 minut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Uwaga: Ilość minut połączeń miesięcznych  jest wartością szacunkową przygotowaną na podstawie zestawienia rachunków telefonicznych w okresie kwiecień 2016– czerwiec 2016 (3 miesiące) służącą ocenie ofert przetargowych Wykonawców. Rzeczywisty czas  połączeń wykonywanych przez Zamawiającego może się różnić od przedstawionego w niniejszym </w:t>
      </w: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formularzu. Z tego tytułu nie służą Wykonawcy względem Zamawiającego jakiekolwiek roszczenia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ramach obsługi serwisowej Wykonawca zapewni Zamawiającemu: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bezpłatne okresowe przeglądy stanu technicznego pracy łączy oraz sprawdzanie parametrów łączy poprzez bieżące, cykliczne ich pomiary, eliminowanie usterek;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b)techniczną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E536DD" w:rsidRPr="00E536DD" w:rsidRDefault="00E536DD" w:rsidP="00E536DD">
      <w:pPr>
        <w:numPr>
          <w:ilvl w:val="0"/>
          <w:numId w:val="1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Bezpłatną całodobową możliwość telefonicznej obsługi klienta – przyjmowanie zgłaszanych awarii systemu i przekazywanie ich do realizacji.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Płatność faktury w terminie 30 dni od dnia wystawienia dokumentu przez Wykonawcę.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 pojawienia się korzystniejszej ogólnie dostępnej oferty Wykonawcy na przedmiotową usługę, Zamawiający ma prawo do skorzystania z niej.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obowiązywania umowy Wykonawca nie może dokonać zmiany cen podanych w formularzu cenowym załączonym do oferty skutkujących podwyższeniem opłat.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Wymagania techniczne: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Zachowanie istniejącej numeracji telefonicznej realizowanej na łączach ISDN PRA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Rybackiej 1  zakres numeracji 91 4800700 – 0899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Unii Lubelskiej 1 zakres numeracji 91 4417200 -  7299 i 4419300-9399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Powstańców Wlkp. 72 zakres numeracji 91 4661480 – 1899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Broniewskiego 24  zakres numeracji 91 4414800 – 4999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Dunikowskiego 4 zakres numeracji 91 4414000 – 4799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- przy ulicy Żołnierskiej 48 zakres numeracji 91 4800900 – 0999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(Zadanie 1.)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Wymagane jest zachowanie ciągłości świadczenia usług telekomunikacyjnych w całym okresie trwania umowy.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Wykonawca gwarantuje przeniesienie numeracji opisanej w punkcie 5.a. i jej uruchomienie w swojej sieci w pierwszym dniu po zakończeniu okresu obowiązywania umowy/umów z dotychczasowym operatorem.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E536DD" w:rsidRPr="00E536DD" w:rsidRDefault="00E536DD" w:rsidP="00E536DD">
      <w:pPr>
        <w:numPr>
          <w:ilvl w:val="3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Zamawiający wymaga od Wykonawcy aby:</w:t>
      </w:r>
    </w:p>
    <w:p w:rsidR="00E536DD" w:rsidRPr="00E536DD" w:rsidRDefault="00E536DD" w:rsidP="00E536DD">
      <w:pPr>
        <w:numPr>
          <w:ilvl w:val="3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momencie rozpoczęcia realizacji zamówienia Wykonawca musi dysponować centrum zgłaszania problemów ze strony klientów działającym 24 godziny na dobę przez 7 dni w tygodniu.</w:t>
      </w:r>
    </w:p>
    <w:p w:rsidR="00E536DD" w:rsidRPr="00E536DD" w:rsidRDefault="00E536DD" w:rsidP="00E536DD">
      <w:pPr>
        <w:numPr>
          <w:ilvl w:val="3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Zapewnienia przez okres trwania umowy serwisu na następujących warunkach:</w:t>
      </w:r>
    </w:p>
    <w:p w:rsidR="00E536DD" w:rsidRPr="00E85C7E" w:rsidRDefault="00E536DD" w:rsidP="00E536DD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lang w:eastAsia="pl-PL"/>
        </w:rPr>
      </w:pPr>
      <w:r w:rsidRPr="00E85C7E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pl-PL"/>
        </w:rPr>
        <w:t>Reakcja w ciągu dwóch godzin od chwili zgłoszenia awarii, przywrócenie funkcjonalności w ciągu ośmiu god</w:t>
      </w:r>
      <w:r w:rsidR="003E3B1E" w:rsidRPr="00E85C7E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pl-PL"/>
        </w:rPr>
        <w:t xml:space="preserve">zin od chwili zgłoszenia awarii </w:t>
      </w:r>
      <w:r w:rsidR="00E85C7E" w:rsidRPr="00E85C7E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pl-PL"/>
        </w:rPr>
        <w:t>pod warunkiem, że zgłoszenie nastąpi od poniedziałku do piątku w godzinach 8.00 – 18.00, z wyłączeniem dni ustawowo wolnych od pracy; jeżeli zgłoszenie awarii nastąpi poza ww. czasem, bieg czasu usunięcia awarii rozpoczyna się od godz. 8.00 pierwszego dnia roboczego następującego po dniu zgłoszenia awarii.</w:t>
      </w:r>
    </w:p>
    <w:p w:rsidR="00E536DD" w:rsidRPr="00E536DD" w:rsidRDefault="00E536DD" w:rsidP="00E536DD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Zgłaszanie awarii odbywać się będzie drogą telefoniczną za pomocą telefonu stacjonarnego lub komórkowego przez osobę upoważnioną ze strony Zamawiającego, a jej przyjęcie powinno być potwierdzone faxem, wiadomością tekstową (SMS-em) lub pocztą elektroniczną w ciągu 1 godziny.</w:t>
      </w:r>
    </w:p>
    <w:bookmarkEnd w:id="0"/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chwili obecnej usługi telekomunikacyjne wyszczególnione w zadaniu nr 1 świadczone są przez Netia S.A, ul. Poleczki 13, 02-822 Warszawa. Umowa na  czas określony kończy się w dniu 14/04/2017.</w:t>
      </w:r>
    </w:p>
    <w:p w:rsidR="00E536DD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W przypadku pozostałych standardowych usług niewymienionych w zadaniu nr 1, płatności będą dokonywane na podstawie cen jednostkowych, określonych w cenniku  z dnia zawarcia umowy dla klientów biznesowych, który będzie niezmienny przez cały okres trwania umowy.</w:t>
      </w:r>
    </w:p>
    <w:p w:rsidR="0061435B" w:rsidRPr="00E536DD" w:rsidRDefault="00E536DD" w:rsidP="00E536DD">
      <w:pPr>
        <w:numPr>
          <w:ilvl w:val="2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6DD">
        <w:rPr>
          <w:rFonts w:ascii="Times New Roman" w:eastAsia="Calibri" w:hAnsi="Times New Roman" w:cs="Times New Roman"/>
          <w:sz w:val="24"/>
          <w:szCs w:val="24"/>
          <w:lang w:eastAsia="pl-PL"/>
        </w:rPr>
        <w:t>Cennik usług dla klientów biznesowych ze stawkami według, których będzie rozliczany Zamawiający będzie stanowił załącznik do oferty Wykonawcy.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2</w:t>
      </w:r>
    </w:p>
    <w:p w:rsidR="00E536DD" w:rsidRPr="00E536DD" w:rsidRDefault="00E536DD" w:rsidP="00E536DD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Placówki dydaktyczne Pomorskiego Uniwersytetu Medycznego przy ulicy Arkońskiej 4, Sokołowskiego 1 w Szczecinie, ul. Sportowej 6 w Barlinku oraz ulicy Matejki 10 w Dziwnowie.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zamówienia: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stałego dostępu do publicznej sieci telefonicznej.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wyklucza stosowanie technologii VoIP, numerów dostępowych oraz świadczenia usług z wykorzystaniem prefiksu, itp. technologii alternatywnych.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Bezpłatne połączenia do służb powołanych ustawowo do niesienia pomocy posiadających numery skrócone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: 112, 999, 998, 997, 994, 992, 993, 991, 986, 985, 984.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Blokada połączeń na 700 – 709 oraz 300 400 900 oraz inne numery z zaliczaniem w taryfach specjalnych.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Przerwa w łączności związana z przejściem na nowy system, może wystąpić jedynie w dni wolne od pracy i nie może trwać dłużej niż 24 godziny,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umożliwi instalację urządzeń do teletransmisji (urządzeń HDSL, DSL, NT) w pomieszczeniach Zamawiającego nieodpłatnie.</w:t>
      </w:r>
    </w:p>
    <w:p w:rsidR="00E536DD" w:rsidRPr="00E536DD" w:rsidRDefault="00E536DD" w:rsidP="00E536DD">
      <w:pPr>
        <w:numPr>
          <w:ilvl w:val="0"/>
          <w:numId w:val="24"/>
        </w:numPr>
        <w:suppressAutoHyphens/>
        <w:autoSpaceDE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uruchomienie łącza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użytkowych adresów IP, 4 lub 8 adresowa podsieć. Do zestawienia tego łącza przy ulicy Sportowej 6 w Barlinku można wykorzystać linię analogową, lub uruchomić dodatkowe łącze podkładowe o ile wymaga tego technologia zestawiania łącza asymetrycznego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koszty uwzględnić w tabeli załącznik nr 2 pkt 8,12,13.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Do kalkulacji kosztów połączeń należy przyjąć następującą konfigurację linii, ilość połączeń oraz ich czas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Konfiguracja linii: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1 łącze BRA (2B+D) przy ul. Arkońskiej 4 w Szczecinie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1 łącze BRA (2B+D)  przy ul. Sokołowskiego 1 w Szczecinie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linia analogowa przy ul. Sportowej 6 w Barlinku, 1 łącze asymetrycznego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4096/512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kbit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/s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linia analogowa przy ul. Matejki 10 w Dziwnowie, 1 łącze asymetrycznego dostępu do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4096/512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kbit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/s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Czas połączeń z podziałem na kierunki: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lokalne i strefowe 60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międzymiastowe 112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międzynarodowe 10 minut</w:t>
      </w:r>
    </w:p>
    <w:p w:rsidR="00E536DD" w:rsidRPr="00E536DD" w:rsidRDefault="00E536DD" w:rsidP="00E536D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połączenia do sieci komórkowych  37 minut</w:t>
      </w:r>
    </w:p>
    <w:p w:rsidR="00E536DD" w:rsidRPr="00E536DD" w:rsidRDefault="00E536DD" w:rsidP="00E536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 Ilość minut połączeń miesięcznych  jest wartością szacunkową przygotowaną na podstawie zestawienia rachunków telefonicznych w okresie kwiecień 2016– czerwiec 2016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obsługi serwisowej Wykonawca zapewni Zamawiającemu: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bezpłatne okresowe przeglądy stanu technicznego pracy łączy oraz sprawdzanie parametrów łączy poprzez bieżące, cykliczne ich pomiary, eliminowanie usterek;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E536DD" w:rsidRPr="00E536DD" w:rsidRDefault="00E536DD" w:rsidP="00E536DD">
      <w:pPr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Bezpłatną całodobową możliwość telefonicznej obsługi klienta – przyjmowanie zgłaszanych awarii systemu i przekazywanie ich do realizacji.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faktury w terminie 30 dni od dnia wystawienia dokumentu przez Wykonawcę.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pojawienia się korzystniejszej ogólnie dostępnej oferty Wykonawcy na przedmiotową usługę, Zamawiający ma prawo do skorzystania z niej.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W okresie obowiązywania umowy Wykonawca nie może dokonać zmiany cen podanych w formularzu cenowym załączonym do oferty skutkujących podwyższeniem opłat.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techniczne: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Zachowanie istniejącej numeracji telefonicznej w budynku dydaktycznym Pomorskiego Uniwersytetu Medycznego przy ul: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Arkońskiej 4 Szczecin  – numery 91 4316242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isdn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msn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91 4316596-914316597) 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Sokołowskiego 1, Szczecin – numer 914620843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isdn</w:t>
      </w:r>
      <w:proofErr w:type="spellEnd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Sportowej 6, Barlinek  – numer 95 7461250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pots</w:t>
      </w:r>
      <w:proofErr w:type="spellEnd"/>
    </w:p>
    <w:p w:rsidR="00E536DD" w:rsidRPr="00E536DD" w:rsidRDefault="00E536DD" w:rsidP="00E536D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Matejki 10, Dziwnów – numery  913813120 </w:t>
      </w:r>
      <w:proofErr w:type="spellStart"/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pots</w:t>
      </w:r>
      <w:proofErr w:type="spellEnd"/>
    </w:p>
    <w:p w:rsidR="00E536DD" w:rsidRPr="00E536DD" w:rsidRDefault="00E536DD" w:rsidP="00E536D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Wymagane jest zachowanie ciągłości świadczenia usług telekomunikacyjnych w całym okresie trwania umowy.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gwarantuje przeniesienie numeracji opisanej w punkcie 8.a)  i jej uruchomienie w swojej sieci w pierwszym dniu po zakończeniu okresu obowiązywania umowy/umów z dotychczasowym operatorem.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E536DD" w:rsidRPr="00E536DD" w:rsidRDefault="00E536DD" w:rsidP="00E536D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wymaga od Wykonawcy aby:</w:t>
      </w:r>
    </w:p>
    <w:p w:rsidR="00E536DD" w:rsidRPr="00E536DD" w:rsidRDefault="00E536DD" w:rsidP="00E536DD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momencie rozpoczęcia realizacji zamówienia Wykonawca musi dysponować centrum zgłaszania problemów ze strony klientów działającym 24 godziny na dobę przez 7 dni w tygodniu.</w:t>
      </w:r>
    </w:p>
    <w:p w:rsidR="00E536DD" w:rsidRPr="00E536DD" w:rsidRDefault="00E536DD" w:rsidP="00E536DD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Zapewnienia przez okres trwania umowy serwisu na następujących warunkach:</w:t>
      </w:r>
    </w:p>
    <w:p w:rsidR="00E536DD" w:rsidRPr="00E85C7E" w:rsidRDefault="00E85C7E" w:rsidP="00E85C7E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E85C7E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- </w:t>
      </w:r>
      <w:r w:rsidRPr="00E85C7E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  <w:t>Reakcja w ciągu dwóch godzin od chwili zgłoszenia awarii, przywrócenie funkcjonalności w ciągu ośmiu godzin od chwili zgłoszenia awarii pod warunkiem, że zgłoszenie nastąpi od poniedziałku do piątku w godzinach 8.00 – 18.00, z wyłączeniem dni ustawowo wolnych od pracy; jeżeli zgłoszenie awarii nastąpi poza ww. czasem, bieg czasu usunięcia awarii rozpoczyna się od godz. 8.00 pierwszego dnia roboczego następującego po dniu zgłoszenia awarii.</w:t>
      </w:r>
    </w:p>
    <w:p w:rsidR="00E536DD" w:rsidRPr="00E85C7E" w:rsidRDefault="00E85C7E" w:rsidP="00E85C7E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E85C7E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- </w:t>
      </w:r>
      <w:r w:rsidR="00E536DD" w:rsidRPr="00E85C7E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chwili obecnej usługi telekomunikacyjne wyszczególnione w zadaniu nr 2 świadczone są przez Orange Polska S.A.   Umowa na świadczenie usług zawarta została na czas określony i kończy się w dniu 31/01/2017.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pozostałych standardowych usług niewymienionych w zadaniu nr 2, płatności będą dokonywane na podstawie cen jednostkowych, określonych w cenniku  z dnia zawarcia umowy dla klientów biznesowych, który będzie niezmienny przez cały okres trwania umowy.</w:t>
      </w:r>
    </w:p>
    <w:p w:rsidR="00E536DD" w:rsidRPr="00E536DD" w:rsidRDefault="00E536DD" w:rsidP="00E536D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6DD">
        <w:rPr>
          <w:rFonts w:ascii="Times New Roman" w:eastAsia="Times New Roman" w:hAnsi="Times New Roman" w:cs="Times New Roman"/>
          <w:sz w:val="24"/>
          <w:szCs w:val="24"/>
          <w:lang w:eastAsia="ar-SA"/>
        </w:rPr>
        <w:t>Cennik usług dla klientów biznesowych ze stawkami według, których będzie rozliczany Zamawiający będzie stanowił załącznik do oferty Wykonawcy.</w:t>
      </w: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36DD" w:rsidRPr="00E536DD" w:rsidRDefault="00E536DD" w:rsidP="00E536DD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1435B" w:rsidRPr="00E536DD" w:rsidRDefault="0061435B" w:rsidP="008E2504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61435B" w:rsidRPr="00E536DD" w:rsidSect="00F07A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E7" w:rsidRDefault="00A255E7">
      <w:pPr>
        <w:spacing w:after="0" w:line="240" w:lineRule="auto"/>
      </w:pPr>
      <w:r>
        <w:separator/>
      </w:r>
    </w:p>
  </w:endnote>
  <w:endnote w:type="continuationSeparator" w:id="0">
    <w:p w:rsidR="00A255E7" w:rsidRDefault="00A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B6785A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Default="00B6785A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E85C7E" w:rsidRPr="00E85C7E">
      <w:rPr>
        <w:rFonts w:eastAsia="Times New Roman"/>
        <w:noProof/>
        <w:sz w:val="18"/>
        <w:szCs w:val="18"/>
      </w:rPr>
      <w:t>4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B6785A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13EC06" wp14:editId="31528E9A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E7" w:rsidRDefault="00A255E7">
      <w:pPr>
        <w:spacing w:after="0" w:line="240" w:lineRule="auto"/>
      </w:pPr>
      <w:r>
        <w:separator/>
      </w:r>
    </w:p>
  </w:footnote>
  <w:footnote w:type="continuationSeparator" w:id="0">
    <w:p w:rsidR="00A255E7" w:rsidRDefault="00A2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3EB217" wp14:editId="5642F73E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" name="Obraz 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C26C1D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2"/>
    <w:multiLevelType w:val="singleLevel"/>
    <w:tmpl w:val="F52C3AF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5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55AA2"/>
    <w:multiLevelType w:val="hybridMultilevel"/>
    <w:tmpl w:val="8B604CB8"/>
    <w:lvl w:ilvl="0" w:tplc="B0AE7D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C902C0"/>
    <w:multiLevelType w:val="hybridMultilevel"/>
    <w:tmpl w:val="48CE55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1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20"/>
  </w:num>
  <w:num w:numId="5">
    <w:abstractNumId w:val="16"/>
  </w:num>
  <w:num w:numId="6">
    <w:abstractNumId w:val="19"/>
  </w:num>
  <w:num w:numId="7">
    <w:abstractNumId w:val="21"/>
  </w:num>
  <w:num w:numId="8">
    <w:abstractNumId w:val="17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"/>
  </w:num>
  <w:num w:numId="20">
    <w:abstractNumId w:val="3"/>
  </w:num>
  <w:num w:numId="21">
    <w:abstractNumId w:val="4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65F54"/>
    <w:rsid w:val="000E0225"/>
    <w:rsid w:val="000E1F31"/>
    <w:rsid w:val="000E273F"/>
    <w:rsid w:val="0014500E"/>
    <w:rsid w:val="00150C40"/>
    <w:rsid w:val="00166C12"/>
    <w:rsid w:val="001A2F28"/>
    <w:rsid w:val="001E12C1"/>
    <w:rsid w:val="003534E5"/>
    <w:rsid w:val="003B02A1"/>
    <w:rsid w:val="003E3B1E"/>
    <w:rsid w:val="004149EF"/>
    <w:rsid w:val="00430A05"/>
    <w:rsid w:val="00471740"/>
    <w:rsid w:val="00557B46"/>
    <w:rsid w:val="00567748"/>
    <w:rsid w:val="005A5914"/>
    <w:rsid w:val="0061435B"/>
    <w:rsid w:val="008362E9"/>
    <w:rsid w:val="008C18A6"/>
    <w:rsid w:val="008E2504"/>
    <w:rsid w:val="0090339F"/>
    <w:rsid w:val="00943CF6"/>
    <w:rsid w:val="00964B96"/>
    <w:rsid w:val="00A14F87"/>
    <w:rsid w:val="00A255E7"/>
    <w:rsid w:val="00AA6B8E"/>
    <w:rsid w:val="00B3475A"/>
    <w:rsid w:val="00B6785A"/>
    <w:rsid w:val="00BB2848"/>
    <w:rsid w:val="00BC6089"/>
    <w:rsid w:val="00C824D4"/>
    <w:rsid w:val="00CB2F8C"/>
    <w:rsid w:val="00CF4C8E"/>
    <w:rsid w:val="00D0543B"/>
    <w:rsid w:val="00D14A0E"/>
    <w:rsid w:val="00E536DD"/>
    <w:rsid w:val="00E85C7E"/>
    <w:rsid w:val="00F00DA0"/>
    <w:rsid w:val="00F07A0A"/>
    <w:rsid w:val="00FE613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67F80" w:rsidP="00767F80">
          <w:pPr>
            <w:pStyle w:val="9DF4DD6E797F4DE9B0F8A3E9A1DCA5BD2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67F80" w:rsidP="00767F80">
          <w:pPr>
            <w:pStyle w:val="C1237184D5A84FB59F9B2E9B97C8EA962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767F80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F80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  <w:style w:type="paragraph" w:customStyle="1" w:styleId="9DF4DD6E797F4DE9B0F8A3E9A1DCA5BD2">
    <w:name w:val="9DF4DD6E797F4DE9B0F8A3E9A1DCA5BD2"/>
    <w:rsid w:val="00767F80"/>
    <w:rPr>
      <w:rFonts w:eastAsiaTheme="minorHAnsi"/>
      <w:lang w:eastAsia="en-US"/>
    </w:rPr>
  </w:style>
  <w:style w:type="paragraph" w:customStyle="1" w:styleId="C1237184D5A84FB59F9B2E9B97C8EA962">
    <w:name w:val="C1237184D5A84FB59F9B2E9B97C8EA962"/>
    <w:rsid w:val="00767F8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7F80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  <w:style w:type="paragraph" w:customStyle="1" w:styleId="9DF4DD6E797F4DE9B0F8A3E9A1DCA5BD2">
    <w:name w:val="9DF4DD6E797F4DE9B0F8A3E9A1DCA5BD2"/>
    <w:rsid w:val="00767F80"/>
    <w:rPr>
      <w:rFonts w:eastAsiaTheme="minorHAnsi"/>
      <w:lang w:eastAsia="en-US"/>
    </w:rPr>
  </w:style>
  <w:style w:type="paragraph" w:customStyle="1" w:styleId="C1237184D5A84FB59F9B2E9B97C8EA962">
    <w:name w:val="C1237184D5A84FB59F9B2E9B97C8EA962"/>
    <w:rsid w:val="00767F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telekomunikacyjnych w ramach sieci telefonii stacjonarnej dla Pomorskiego Uniwersytetu Medycznego w Szczecinie</vt:lpstr>
    </vt:vector>
  </TitlesOfParts>
  <Company/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telekomunikacyjnych w ramach sieci telefonii stacjonarnej dla Pomorskiego Uniwersytetu Medycznego w Szczecinie</dc:title>
  <dc:creator>Justyna Kotowicz</dc:creator>
  <cp:lastModifiedBy>Radosław Bogdanski</cp:lastModifiedBy>
  <cp:revision>2</cp:revision>
  <cp:lastPrinted>2016-12-09T09:38:00Z</cp:lastPrinted>
  <dcterms:created xsi:type="dcterms:W3CDTF">2017-01-10T08:01:00Z</dcterms:created>
  <dcterms:modified xsi:type="dcterms:W3CDTF">2017-01-10T08:01:00Z</dcterms:modified>
  <cp:contentStatus>DZP-262-61/2016</cp:contentStatus>
</cp:coreProperties>
</file>