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Pr="00E536DD" w:rsidRDefault="00557B46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 w:rsidRPr="00E536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6DD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Pr="00E536DD" w:rsidRDefault="005A5914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bCs/>
          <w:i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E536DD" w:rsidRDefault="00166C12" w:rsidP="00557B4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Świadczenie usług telekomunikacyjnych w ramach sieci telefonii </w:t>
          </w:r>
          <w:r w:rsidR="000E273F"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stacjonarnej</w:t>
          </w:r>
          <w:r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E536DD" w:rsidRDefault="00F00DA0" w:rsidP="00557B4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DZP-262-</w:t>
          </w:r>
          <w:r w:rsidR="00166C12"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6</w:t>
          </w:r>
          <w:r w:rsidR="000E273F"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1</w:t>
          </w:r>
          <w:r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/2016</w:t>
          </w:r>
        </w:p>
      </w:sdtContent>
    </w:sdt>
    <w:p w:rsidR="005A5914" w:rsidRPr="00E536DD" w:rsidRDefault="005A5914" w:rsidP="00557B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A5914" w:rsidRPr="00E536DD" w:rsidRDefault="005A5914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Wykaz Załączników do Części III SIWZ:</w:t>
      </w:r>
    </w:p>
    <w:p w:rsidR="005A5914" w:rsidRPr="00E536DD" w:rsidRDefault="005A5914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FE613B" w:rsidRPr="00E536DD">
        <w:rPr>
          <w:rFonts w:ascii="Times New Roman" w:eastAsia="Calibri" w:hAnsi="Times New Roman" w:cs="Times New Roman"/>
          <w:sz w:val="24"/>
          <w:szCs w:val="24"/>
        </w:rPr>
        <w:t>.1</w:t>
      </w:r>
      <w:r w:rsidRPr="00E536DD">
        <w:rPr>
          <w:rFonts w:ascii="Times New Roman" w:eastAsia="Calibri" w:hAnsi="Times New Roman" w:cs="Times New Roman"/>
          <w:sz w:val="24"/>
          <w:szCs w:val="24"/>
        </w:rPr>
        <w:t>:</w:t>
      </w:r>
      <w:r w:rsidRPr="00E536DD">
        <w:rPr>
          <w:rFonts w:ascii="Times New Roman" w:eastAsia="Calibri" w:hAnsi="Times New Roman" w:cs="Times New Roman"/>
          <w:sz w:val="24"/>
          <w:szCs w:val="24"/>
        </w:rPr>
        <w:tab/>
        <w:t>Szczegółowa oferta cenowa</w:t>
      </w:r>
      <w:r w:rsidR="00FE613B" w:rsidRPr="00E536DD">
        <w:rPr>
          <w:rFonts w:ascii="Times New Roman" w:eastAsia="Calibri" w:hAnsi="Times New Roman" w:cs="Times New Roman"/>
          <w:sz w:val="24"/>
          <w:szCs w:val="24"/>
        </w:rPr>
        <w:t xml:space="preserve"> – zadanie nr 1</w:t>
      </w:r>
      <w:r w:rsidRPr="00E536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613B" w:rsidRPr="00E536DD" w:rsidRDefault="00FE613B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Załącznik nr III A.2:</w:t>
      </w:r>
      <w:r w:rsidRPr="00E536DD">
        <w:rPr>
          <w:rFonts w:ascii="Times New Roman" w:eastAsia="Calibri" w:hAnsi="Times New Roman" w:cs="Times New Roman"/>
          <w:sz w:val="24"/>
          <w:szCs w:val="24"/>
        </w:rPr>
        <w:tab/>
        <w:t>Szczegółowa oferta cenowa – zadanie nr 2.</w:t>
      </w:r>
    </w:p>
    <w:p w:rsidR="00F00DA0" w:rsidRPr="00E536DD" w:rsidRDefault="00F00DA0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DA0" w:rsidRPr="00E536DD" w:rsidRDefault="00F00DA0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914" w:rsidRPr="00E536DD" w:rsidRDefault="005A5914" w:rsidP="00D054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E536DD" w:rsidRDefault="005A5914" w:rsidP="00557B46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Pr="00E536DD" w:rsidRDefault="005A5914" w:rsidP="00557B46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Wzór umowy.</w:t>
      </w:r>
    </w:p>
    <w:p w:rsidR="00E536DD" w:rsidRPr="00E536DD" w:rsidRDefault="00E536DD" w:rsidP="00E536D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telekomunikacyjnych w zakresie telefonii stacjonarnej:</w:t>
      </w:r>
    </w:p>
    <w:p w:rsidR="00E536DD" w:rsidRPr="00E536DD" w:rsidRDefault="00E536DD" w:rsidP="00E536D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Pomorskiego Uniwersytetu Medycznego przy ulicy Rybacka 1, Unii Lubelskiej 1,  Powstańców Wlkp. 72, Broniewskiego 24, Dunikowskiego 4, Żołnierskiej 48 w Szczecinie  </w:t>
      </w: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1);</w:t>
      </w: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6DD" w:rsidRPr="00E536DD" w:rsidRDefault="00E536DD" w:rsidP="00E536D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placówkach dydaktycznych Pomorskiego Uniwersytetu Medycznego przy ulicy Sokołowskiego 1 i Arkońskiej 4 w Szczecinie, w Barlinku ul. Sportowa 6, Dziwnowie ul. Matejki 10 </w:t>
      </w: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2);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NR 1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Budynki Pomorskiego Uniwersytetu Medycznego przy ul. Rybackiej 1, Unii Lubelskiej 1, Powstańców Wlkp. 72, Broniewskiego 24,  Dunikowskiego 4, Żołnierskiej 4</w:t>
      </w: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Zakres zamówienia: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Zapewnienie stałego dostępu do publicznej sieci telefonicznej.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wyklucza stosowanie technologii VoIP, numerów dostępowych oraz świadczenia usług z wykorzystaniem prefiksu, itp. technologii alternatywnych.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Powstańców Wlkp. 72 oraz Rybackiej 1 jest obiektem zabytkowym. Wszelkie koszty dodatkowe związane z budową przyłącza radiowego należy uwzględnić w wycenie oferty poprzez dodanie ich w tabeli poz.12.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Sprzęt użyty przez Wykonawcę do zestawienia usług telekomunikacyjnych tj. urządzenia nadawczo-odbiorcze, anteny, modemy itp. musi posiadać niezbędne deklaracje zgodności 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dopuszczające do użytku na terenie Rzeczpospolitej Polskiej.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Bezpłatne połączenia do służb powołanych ustawowo do niesienia pomocy posiadających numery skrócone </w:t>
      </w:r>
      <w:proofErr w:type="spellStart"/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tj</w:t>
      </w:r>
      <w:proofErr w:type="spellEnd"/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: 112, 999, 998, 997, 994, 992, 993, 991, 986, 985, 984.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Blokada połączeń na 700 – 709 oraz 300 400 900 oraz inne numery z zaliczaniem w taryfach specjalnych.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Przerwa w łączności związana z przejściem na nowy system, może wystąpić jedynie w dni wolne od pracy oraz dni wolne od zajęć dydaktycznych i nie może trwać dłużej niż 24 godziny,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umożliwi instalację urządzeń do teletransmisji (urządzeń HDSL, DSL, NT) w pomieszczeniach Zamawiającego nieodpłatnie.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kalkulacji kosztów  połączeń należy przyjąć następującą konfigurację linii, ilość połączeń oraz ich czas. 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Konfiguracja linii: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Rybackiej 1,  Szczecin uruchomionych minimalnie 30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Unii Lubelskiej 1,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Powstańców Wlkp. 72,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30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Broniewskiego 24,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Dunikowskiego 4,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Żołnierskiej 4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Czas połączeń z podziałem na kierunki: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lokalne i strefowe 9102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międzystrefowe 3399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międzynarodowe 354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do sieci komórkowych 12461 minut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Uwaga: Ilość minut połączeń miesięcznych  jest wartością szacunkową przygotowaną na podstawie zestawienia rachunków telefonicznych w okresie kwiecień 2016– czerwiec 2016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ramach obsługi serwisowej Wykonawca zapewni Zamawiającemu: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bezpłatne okresowe przeglądy stanu technicznego pracy łączy oraz sprawdzanie parametrów łączy poprzez bieżące, cykliczne ich pomiary, eliminowanie usterek;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b)techniczną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Bezpłatną całodobową możliwość telefonicznej obsługi klienta – przyjmowanie zgłaszanych awarii systemu i przekazywanie ich do realizacji.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Płatność faktury w terminie 30 dni od dnia wystawienia dokumentu przez Wykonawcę.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 pojawienia się korzystniejszej ogólnie dostępnej oferty Wykonawcy na przedmiotową usługę, Zamawiający ma prawo do skorzystania z niej.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obowiązywania umowy Wykonawca nie może dokonać zmiany cen podanych w formularzu cenowym załączonym do oferty skutkujących podwyższeniem opłat.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Wymagania techniczne: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Zachowanie istniejącej numeracji telefonicznej realizowanej na łączach ISDN PRA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Rybackiej 1  zakres numeracji 91 4800700 – 0899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Unii Lubelskiej 1 zakres numeracji 91 4417200 -  7299 i 4419300-9399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Powstańców Wlkp. 72 zakres numeracji 91 4661480 – 1899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Broniewskiego 24  zakres numeracji 91 4414800 – 4999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Dunikowskiego 4 zakres numeracji 91 4414000 – 4799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Żołnierskiej 4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zakres numeracji 91 4800900 – 0999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(Zadanie 1.)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Wymagane jest zachowanie ciągłości świadczenia usług telekomunikacyjnych w całym okresie trwania umowy.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Wykonawca gwarantuje przeniesienie numeracji opisanej w punkcie 5.a. i jej uruchomienie w swojej sieci w pierwszym dniu po zakończeniu okresu obowiązywania umowy/umów z dotychczasowym operatorem.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wymaga od Wykonawcy aby:</w:t>
      </w:r>
    </w:p>
    <w:p w:rsidR="00E536DD" w:rsidRPr="00E536DD" w:rsidRDefault="00E536DD" w:rsidP="00E536DD">
      <w:pPr>
        <w:numPr>
          <w:ilvl w:val="3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momencie rozpoczęcia realizacji zamówienia Wykonawca musi dysponować centrum zgłaszania problemów ze strony klientów działającym 24 godziny na dobę przez 7 dni w tygodniu.</w:t>
      </w:r>
    </w:p>
    <w:p w:rsidR="00E536DD" w:rsidRPr="00E536DD" w:rsidRDefault="00E536DD" w:rsidP="00E536DD">
      <w:pPr>
        <w:numPr>
          <w:ilvl w:val="3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Zapewnienia przez okres trwania umowy serwisu na następujących warunkach:</w:t>
      </w:r>
    </w:p>
    <w:p w:rsidR="00E536DD" w:rsidRPr="00E536DD" w:rsidRDefault="00E536DD" w:rsidP="00E536DD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Reakcja w ciągu dwóch godzin od chwili zgłoszenia awarii, przywrócenie funkcjonalności w ciągu ośmiu godzin od chwili zgłoszenia awarii.</w:t>
      </w:r>
    </w:p>
    <w:p w:rsidR="00E536DD" w:rsidRPr="00E536DD" w:rsidRDefault="00E536DD" w:rsidP="00E536DD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Zgłaszanie awarii odbywać się będzie drogą telefoniczną za pomocą telefonu stacjonarnego lub komórkowego przez osobę upoważnioną ze strony Zamawiającego, a jej przyjęcie powinno być potwierdzone faxem, wiadomością tekstową (SMS-em) lub pocztą elektroniczną w ciągu 1 godziny.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chwili obecnej usługi telekomunikacyjne wyszczególnione w zadaniu nr 1 świadczone są przez Netia S.A, ul. Poleczki 13, 02-822 Warszawa. Umowa na  czas określony kończy się w dniu 14/04/2017.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 pozostałych standardowych usług niewymienionych w zadaniu nr 1, płatności będą dokonywane na podstawie cen jednostkowych, określonych w cenniku  z dnia zawarcia umowy dla klientów biznesowych, który będzie niezmienny przez cały okres trwania umowy.</w:t>
      </w:r>
    </w:p>
    <w:p w:rsidR="0061435B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Cennik usług dla klientów biznesowych ze stawkami według, których będzie rozliczany Zamawiający będzie stanowił załącznik do oferty Wykonawcy.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2</w:t>
      </w:r>
    </w:p>
    <w:p w:rsidR="00E536DD" w:rsidRPr="00E536DD" w:rsidRDefault="00E536DD" w:rsidP="00E536DD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lacówki dydaktyczne Pomorskiego Uniwersytetu Medycznego przy ulicy Arkońskiej 4, Sokołowskiego 1 w Szczecinie, ul. Sportowej 6 w Barlinku oraz ulicy Matejki 10 w Dziwnowie.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zamówienia: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stałego dostępu do publicznej sieci telefonicznej.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wyklucza stosowanie technologii VoIP, numerów dostępowych oraz świadczenia usług z wykorzystaniem prefiksu, itp. technologii alternatywnych.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Bezpłatne połączenia do służb powołanych ustawowo do niesienia pomocy posiadających numery skrócone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: 112, 999, 998, 997, 994, 992, 993, 991, 986, 985, 984.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Blokada połączeń na 700 – 709 oraz 300 400 900 oraz inne numery z zaliczaniem w taryfach specjalnych.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Przerwa w łączności związana z przejściem na nowy system, może wystąpić jedynie w dni wolne od pracy i nie może trwać dłużej niż 24 godziny,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umożliwi instalację urządzeń do teletransmisji (urządzeń HDSL, DSL, NT) w pomieszczeniach Zamawiającego nieodpłatnie.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uruchomienie łącza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użytkowych adresów IP, 4 lub 8 adresowa podsieć. Do zestawienia tego łącza przy ulicy Sportowej 6 w Barlinku można wykorzystać linię analogową, lub uruchomić dodatkowe łącze podkładowe o ile wymaga tego technologia zestawiania łącza asymetrycznego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koszty uwzględnić w tabeli załącznik nr 2 pkt 8,12,13.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Do kalkulacji kosztów połączeń należy przyjąć następującą konfigurację linii, ilość połączeń oraz ich czas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Konfiguracja linii: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1 łącze BRA (2B+D) przy ul. Arkońskiej 4 w Szczecinie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1 łącze BRA (2B+D)  przy ul. Sokołowskiego 1 w Szczecinie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linia analogowa przy ul. Sportowej 6 w Barlinku, 1 łącze asymetrycznego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4096/512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kbit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/s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linia analogowa przy ul. Matejki 10 w Dziwnowie, 1 łącze asymetrycznego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4096/512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kbit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/s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połączeń z podziałem na kierunki: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lokalne i strefowe 60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międzymiastowe 112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międzynarodowe 10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do sieci komórkowych  37 minut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 Ilość minut połączeń miesięcznych  jest wartością szacunkową przygotowaną na podstawie zestawienia rachunków telefonicznych w okresie kwiecień 2016– czerwiec 2016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obsługi serwisowej Wykonawca zapewni Zamawiającemu: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bezpłatne okresowe przeglądy stanu technicznego pracy łączy oraz sprawdzanie parametrów łączy poprzez bieżące, cykliczne ich pomiary, eliminowanie usterek;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Bezpłatną całodobową możliwość telefonicznej obsługi klienta – przyjmowanie zgłaszanych awarii systemu i przekazywanie ich do realizacji.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faktury w terminie 30 dni od dnia wystawienia dokumentu przez Wykonawcę.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pojawienia się korzystniejszej ogólnie dostępnej oferty Wykonawcy na przedmiotową usługę, Zamawiający ma prawo do skorzystania z niej.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okresie obowiązywania umowy Wykonawca nie może dokonać zmiany cen podanych w formularzu cenowym załączonym do oferty skutkujących podwyższeniem opłat.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techniczne: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Zachowanie istniejącej numeracji telefonicznej w budynku dydaktycznym Pomorskiego Uniwersytetu Medycznego przy ul: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Arkońskiej 4 Szczecin  – numery 91 4316242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isdn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msn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91 4316596-914316597) 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Sokołowskiego 1, Szczecin – numer 914620843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isdn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Sportowej 6, Barlinek  – numer 95 7461250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pots</w:t>
      </w:r>
      <w:proofErr w:type="spellEnd"/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Matejki 10, Dziwnów – numery  913813120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pots</w:t>
      </w:r>
      <w:proofErr w:type="spellEnd"/>
    </w:p>
    <w:p w:rsidR="00E536DD" w:rsidRPr="00E536DD" w:rsidRDefault="00E536DD" w:rsidP="00E536D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jest zachowanie ciągłości świadczenia usług telekomunikacyjnych w całym okresie trwania umowy.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przeniesienie numeracji opisanej w punkcie 8.a)  i jej uruchomienie w swojej sieci w pierwszym dniu po zakończeniu okresu obowiązywania umowy/umów z dotychczasowym operatorem.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wymaga od Wykonawcy aby:</w:t>
      </w:r>
    </w:p>
    <w:p w:rsidR="00E536DD" w:rsidRPr="00E536DD" w:rsidRDefault="00E536DD" w:rsidP="00E536DD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momencie rozpoczęcia realizacji zamówienia Wykonawca musi dysponować centrum zgłaszania problemów ze strony klientów działającym 24 godziny na dobę przez 7 dni w tygodniu.</w:t>
      </w:r>
    </w:p>
    <w:p w:rsidR="00E536DD" w:rsidRPr="00E536DD" w:rsidRDefault="00E536DD" w:rsidP="00E536DD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 przez okres trwania umowy serwisu na następujących warunkach:</w:t>
      </w:r>
    </w:p>
    <w:p w:rsidR="00E536DD" w:rsidRPr="00E536DD" w:rsidRDefault="00E536DD" w:rsidP="00E536D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Reakcja w ciągu dwóch godzin od chwili zgłoszenia awarii, przywrócenie funkcjonalności w ciągu ośmiu godzin od chwili zgłoszenia awarii.</w:t>
      </w:r>
    </w:p>
    <w:p w:rsidR="00E536DD" w:rsidRPr="00E536DD" w:rsidRDefault="00E536DD" w:rsidP="00E536D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chwili obecnej usługi telekomunikacyjne wyszczególnione w zadaniu nr 2 świadczone są przez Orange Polska S.A.   Umowa na świadczenie usług zawarta została na czas określony i kończy się w dniu 31/01/2017.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pozostałych standardowych usług niewymienionych w zadaniu nr 2, płatności będą dokonywane na podstawie cen jednostkowych, określonych w cenniku  z dnia zawarcia umowy dla klientów biznesowych, który będzie niezmienny przez cały okres trwania umowy.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Cennik usług dla klientów biznesowych ze stawkami według, których będzie rozliczany Zamawiający będzie stanowił załącznik do oferty Wykonawcy.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435B" w:rsidRPr="00E536DD" w:rsidRDefault="0061435B" w:rsidP="008E2504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61435B" w:rsidRPr="00E536DD" w:rsidSect="00F07A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E7" w:rsidRDefault="00A255E7">
      <w:pPr>
        <w:spacing w:after="0" w:line="240" w:lineRule="auto"/>
      </w:pPr>
      <w:r>
        <w:separator/>
      </w:r>
    </w:p>
  </w:endnote>
  <w:endnote w:type="continuationSeparator" w:id="0">
    <w:p w:rsidR="00A255E7" w:rsidRDefault="00A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E536DD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E536DD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536DD" w:rsidRPr="00E536D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E536DD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13EC06" wp14:editId="31528E9A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E7" w:rsidRDefault="00A255E7">
      <w:pPr>
        <w:spacing w:after="0" w:line="240" w:lineRule="auto"/>
      </w:pPr>
      <w:r>
        <w:separator/>
      </w:r>
    </w:p>
  </w:footnote>
  <w:footnote w:type="continuationSeparator" w:id="0">
    <w:p w:rsidR="00A255E7" w:rsidRDefault="00A2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3EB217" wp14:editId="5642F73E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" name="Obraz 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C26C1D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F52C3AF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5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55AA2"/>
    <w:multiLevelType w:val="hybridMultilevel"/>
    <w:tmpl w:val="8B604CB8"/>
    <w:lvl w:ilvl="0" w:tplc="B0AE7D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C902C0"/>
    <w:multiLevelType w:val="hybridMultilevel"/>
    <w:tmpl w:val="48CE55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1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0"/>
  </w:num>
  <w:num w:numId="5">
    <w:abstractNumId w:val="16"/>
  </w:num>
  <w:num w:numId="6">
    <w:abstractNumId w:val="19"/>
  </w:num>
  <w:num w:numId="7">
    <w:abstractNumId w:val="21"/>
  </w:num>
  <w:num w:numId="8">
    <w:abstractNumId w:val="17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"/>
  </w:num>
  <w:num w:numId="20">
    <w:abstractNumId w:val="3"/>
  </w:num>
  <w:num w:numId="21">
    <w:abstractNumId w:val="4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65F54"/>
    <w:rsid w:val="000E0225"/>
    <w:rsid w:val="000E1F31"/>
    <w:rsid w:val="000E273F"/>
    <w:rsid w:val="00150C40"/>
    <w:rsid w:val="00166C12"/>
    <w:rsid w:val="001A2F28"/>
    <w:rsid w:val="001E12C1"/>
    <w:rsid w:val="003534E5"/>
    <w:rsid w:val="003B02A1"/>
    <w:rsid w:val="004149EF"/>
    <w:rsid w:val="00430A05"/>
    <w:rsid w:val="00471740"/>
    <w:rsid w:val="00557B46"/>
    <w:rsid w:val="00567748"/>
    <w:rsid w:val="005A5914"/>
    <w:rsid w:val="0061435B"/>
    <w:rsid w:val="008362E9"/>
    <w:rsid w:val="008C18A6"/>
    <w:rsid w:val="008E2504"/>
    <w:rsid w:val="0090339F"/>
    <w:rsid w:val="00943CF6"/>
    <w:rsid w:val="00964B96"/>
    <w:rsid w:val="00A14F87"/>
    <w:rsid w:val="00A255E7"/>
    <w:rsid w:val="00AA6B8E"/>
    <w:rsid w:val="00B3475A"/>
    <w:rsid w:val="00BB2848"/>
    <w:rsid w:val="00BC6089"/>
    <w:rsid w:val="00C824D4"/>
    <w:rsid w:val="00CB2F8C"/>
    <w:rsid w:val="00CF4C8E"/>
    <w:rsid w:val="00D0543B"/>
    <w:rsid w:val="00D14A0E"/>
    <w:rsid w:val="00E536DD"/>
    <w:rsid w:val="00F00DA0"/>
    <w:rsid w:val="00F07A0A"/>
    <w:rsid w:val="00FE613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67F80" w:rsidP="00767F80">
          <w:pPr>
            <w:pStyle w:val="9DF4DD6E797F4DE9B0F8A3E9A1DCA5BD2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67F80" w:rsidP="00767F80">
          <w:pPr>
            <w:pStyle w:val="C1237184D5A84FB59F9B2E9B97C8EA962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767F80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F80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  <w:style w:type="paragraph" w:customStyle="1" w:styleId="9DF4DD6E797F4DE9B0F8A3E9A1DCA5BD2">
    <w:name w:val="9DF4DD6E797F4DE9B0F8A3E9A1DCA5BD2"/>
    <w:rsid w:val="00767F80"/>
    <w:rPr>
      <w:rFonts w:eastAsiaTheme="minorHAnsi"/>
      <w:lang w:eastAsia="en-US"/>
    </w:rPr>
  </w:style>
  <w:style w:type="paragraph" w:customStyle="1" w:styleId="C1237184D5A84FB59F9B2E9B97C8EA962">
    <w:name w:val="C1237184D5A84FB59F9B2E9B97C8EA962"/>
    <w:rsid w:val="00767F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F80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  <w:style w:type="paragraph" w:customStyle="1" w:styleId="9DF4DD6E797F4DE9B0F8A3E9A1DCA5BD2">
    <w:name w:val="9DF4DD6E797F4DE9B0F8A3E9A1DCA5BD2"/>
    <w:rsid w:val="00767F80"/>
    <w:rPr>
      <w:rFonts w:eastAsiaTheme="minorHAnsi"/>
      <w:lang w:eastAsia="en-US"/>
    </w:rPr>
  </w:style>
  <w:style w:type="paragraph" w:customStyle="1" w:styleId="C1237184D5A84FB59F9B2E9B97C8EA962">
    <w:name w:val="C1237184D5A84FB59F9B2E9B97C8EA962"/>
    <w:rsid w:val="00767F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2416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telekomunikacyjnych w ramach sieci telefonii stacjonarnej dla Pomorskiego Uniwersytetu Medycznego w Szczecinie</vt:lpstr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telekomunikacyjnych w ramach sieci telefonii stacjonarnej dla Pomorskiego Uniwersytetu Medycznego w Szczecinie</dc:title>
  <dc:creator>Justyna Kotowicz</dc:creator>
  <cp:lastModifiedBy>Radosław Bogdanski</cp:lastModifiedBy>
  <cp:revision>4</cp:revision>
  <cp:lastPrinted>2016-12-09T09:38:00Z</cp:lastPrinted>
  <dcterms:created xsi:type="dcterms:W3CDTF">2016-12-12T13:03:00Z</dcterms:created>
  <dcterms:modified xsi:type="dcterms:W3CDTF">2016-12-12T13:40:00Z</dcterms:modified>
  <cp:contentStatus>DZP-262-61/2016</cp:contentStatus>
</cp:coreProperties>
</file>